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59B" w:rsidRDefault="00C0397A">
      <w:pPr>
        <w:spacing w:line="560" w:lineRule="exact"/>
        <w:jc w:val="center"/>
        <w:rPr>
          <w:rFonts w:ascii="黑体" w:eastAsia="黑体" w:hAnsi="黑体" w:cs="黑体"/>
          <w:sz w:val="32"/>
          <w:szCs w:val="32"/>
        </w:rPr>
      </w:pPr>
      <w:bookmarkStart w:id="0" w:name="_GoBack"/>
      <w:bookmarkEnd w:id="0"/>
      <w:r>
        <w:rPr>
          <w:rFonts w:ascii="黑体" w:eastAsia="黑体" w:hAnsi="黑体" w:cs="黑体" w:hint="eastAsia"/>
          <w:sz w:val="32"/>
          <w:szCs w:val="32"/>
        </w:rPr>
        <w:t>202</w:t>
      </w:r>
      <w:r w:rsidR="00BF4894">
        <w:rPr>
          <w:rFonts w:ascii="黑体" w:eastAsia="黑体" w:hAnsi="黑体" w:cs="黑体" w:hint="eastAsia"/>
          <w:sz w:val="32"/>
          <w:szCs w:val="32"/>
        </w:rPr>
        <w:t>3</w:t>
      </w:r>
      <w:r>
        <w:rPr>
          <w:rFonts w:ascii="黑体" w:eastAsia="黑体" w:hAnsi="黑体" w:cs="黑体" w:hint="eastAsia"/>
          <w:sz w:val="32"/>
          <w:szCs w:val="32"/>
        </w:rPr>
        <w:t>年车用柴油产品质量</w:t>
      </w:r>
      <w:r w:rsidR="009C4295">
        <w:rPr>
          <w:rFonts w:ascii="黑体" w:eastAsia="黑体" w:hAnsi="黑体" w:cs="黑体" w:hint="eastAsia"/>
          <w:sz w:val="32"/>
          <w:szCs w:val="32"/>
        </w:rPr>
        <w:t>钦州市</w:t>
      </w:r>
      <w:r>
        <w:rPr>
          <w:rFonts w:ascii="黑体" w:eastAsia="黑体" w:hAnsi="黑体" w:cs="黑体" w:hint="eastAsia"/>
          <w:sz w:val="32"/>
          <w:szCs w:val="32"/>
        </w:rPr>
        <w:t>监督抽查实施细则</w:t>
      </w:r>
    </w:p>
    <w:p w:rsidR="001B259B" w:rsidRDefault="001B259B">
      <w:pPr>
        <w:snapToGrid w:val="0"/>
        <w:spacing w:line="440" w:lineRule="exact"/>
        <w:rPr>
          <w:rFonts w:ascii="黑体" w:eastAsia="黑体" w:hAnsi="宋体"/>
          <w:szCs w:val="21"/>
        </w:rPr>
      </w:pPr>
    </w:p>
    <w:p w:rsidR="001B259B" w:rsidRDefault="00C0397A">
      <w:pPr>
        <w:snapToGrid w:val="0"/>
        <w:spacing w:line="440" w:lineRule="exact"/>
        <w:rPr>
          <w:rFonts w:ascii="黑体" w:eastAsia="黑体" w:hAnsi="宋体"/>
          <w:szCs w:val="21"/>
        </w:rPr>
      </w:pPr>
      <w:r>
        <w:rPr>
          <w:rFonts w:ascii="黑体" w:eastAsia="黑体" w:hAnsi="宋体" w:hint="eastAsia"/>
          <w:szCs w:val="21"/>
        </w:rPr>
        <w:t>1 范围</w:t>
      </w:r>
    </w:p>
    <w:p w:rsidR="001B259B" w:rsidRDefault="00C0397A">
      <w:pPr>
        <w:snapToGrid w:val="0"/>
        <w:spacing w:line="440" w:lineRule="exact"/>
        <w:ind w:firstLineChars="200" w:firstLine="420"/>
        <w:rPr>
          <w:rFonts w:ascii="宋体" w:hAnsi="宋体" w:cs="Sim Sun"/>
          <w:kern w:val="0"/>
          <w:szCs w:val="21"/>
        </w:rPr>
      </w:pPr>
      <w:r>
        <w:rPr>
          <w:rFonts w:ascii="宋体" w:hAnsi="宋体" w:hint="eastAsia"/>
          <w:szCs w:val="21"/>
        </w:rPr>
        <w:t>本实施细则适用于</w:t>
      </w:r>
      <w:r w:rsidR="00BF4894">
        <w:rPr>
          <w:rFonts w:ascii="宋体" w:hAnsi="宋体" w:hint="eastAsia"/>
          <w:szCs w:val="21"/>
        </w:rPr>
        <w:t>2023</w:t>
      </w:r>
      <w:r w:rsidR="001147E2">
        <w:rPr>
          <w:rFonts w:ascii="宋体" w:hAnsi="宋体" w:hint="eastAsia"/>
          <w:szCs w:val="21"/>
        </w:rPr>
        <w:t>年</w:t>
      </w:r>
      <w:r>
        <w:rPr>
          <w:rFonts w:ascii="宋体" w:hAnsi="宋体" w:hint="eastAsia"/>
          <w:szCs w:val="21"/>
        </w:rPr>
        <w:t>车用柴油产品质量</w:t>
      </w:r>
      <w:r w:rsidR="009C4295">
        <w:rPr>
          <w:rFonts w:ascii="宋体" w:hAnsi="宋体" w:hint="eastAsia"/>
          <w:szCs w:val="21"/>
        </w:rPr>
        <w:t>钦州市</w:t>
      </w:r>
      <w:r>
        <w:rPr>
          <w:rFonts w:ascii="宋体" w:hAnsi="宋体" w:hint="eastAsia"/>
          <w:szCs w:val="21"/>
        </w:rPr>
        <w:t>监督抽查，</w:t>
      </w:r>
      <w:r w:rsidR="009C4295">
        <w:rPr>
          <w:rFonts w:ascii="宋体" w:hAnsi="宋体" w:hint="eastAsia"/>
          <w:szCs w:val="21"/>
        </w:rPr>
        <w:t>抽查产品范围为车用柴油产品</w:t>
      </w:r>
      <w:r>
        <w:rPr>
          <w:rFonts w:ascii="宋体" w:hAnsi="宋体" w:cs="Sim Sun" w:hint="eastAsia"/>
          <w:kern w:val="0"/>
          <w:szCs w:val="21"/>
        </w:rPr>
        <w:t>。</w:t>
      </w:r>
      <w:r>
        <w:rPr>
          <w:rFonts w:ascii="宋体" w:hAnsi="宋体" w:hint="eastAsia"/>
          <w:szCs w:val="21"/>
        </w:rPr>
        <w:t>本实施细则依据车用柴油产品相关标准以及此次监督抽查工作要求制订</w:t>
      </w:r>
      <w:r w:rsidR="009C4295">
        <w:rPr>
          <w:rFonts w:ascii="宋体" w:hAnsi="宋体" w:hint="eastAsia"/>
          <w:szCs w:val="21"/>
        </w:rPr>
        <w:t>，</w:t>
      </w:r>
      <w:r>
        <w:rPr>
          <w:rFonts w:ascii="宋体" w:hAnsi="宋体" w:hint="eastAsia"/>
          <w:szCs w:val="21"/>
        </w:rPr>
        <w:t>内容</w:t>
      </w:r>
      <w:r>
        <w:rPr>
          <w:rFonts w:ascii="宋体" w:hAnsi="宋体" w:cs="Sim Sun" w:hint="eastAsia"/>
          <w:kern w:val="0"/>
          <w:szCs w:val="21"/>
        </w:rPr>
        <w:t>包括产品种类、术语和定义、检验依据、抽样、检验要求、判定原则、异议处理。</w:t>
      </w:r>
    </w:p>
    <w:p w:rsidR="001B259B" w:rsidRDefault="001B259B">
      <w:pPr>
        <w:snapToGrid w:val="0"/>
        <w:spacing w:line="440" w:lineRule="exact"/>
        <w:ind w:firstLineChars="192" w:firstLine="403"/>
        <w:rPr>
          <w:rFonts w:ascii="宋体" w:hAnsi="宋体" w:cs="Sim Sun"/>
          <w:kern w:val="0"/>
          <w:szCs w:val="21"/>
        </w:rPr>
      </w:pPr>
    </w:p>
    <w:p w:rsidR="001B259B" w:rsidRDefault="00C0397A">
      <w:pPr>
        <w:snapToGrid w:val="0"/>
        <w:spacing w:line="440" w:lineRule="exact"/>
        <w:rPr>
          <w:rFonts w:ascii="黑体" w:eastAsia="黑体" w:hAnsi="宋体"/>
          <w:szCs w:val="21"/>
        </w:rPr>
      </w:pPr>
      <w:r>
        <w:rPr>
          <w:rFonts w:ascii="黑体" w:eastAsia="黑体" w:hAnsi="宋体" w:hint="eastAsia"/>
          <w:szCs w:val="21"/>
        </w:rPr>
        <w:t>2</w:t>
      </w:r>
      <w:r>
        <w:rPr>
          <w:rFonts w:ascii="黑体" w:eastAsia="黑体" w:hAnsi="宋体"/>
          <w:szCs w:val="21"/>
        </w:rPr>
        <w:t xml:space="preserve"> </w:t>
      </w:r>
      <w:r>
        <w:rPr>
          <w:rFonts w:ascii="黑体" w:eastAsia="黑体" w:hAnsi="宋体" w:hint="eastAsia"/>
          <w:szCs w:val="21"/>
        </w:rPr>
        <w:t>产品种类</w:t>
      </w:r>
    </w:p>
    <w:p w:rsidR="001B259B" w:rsidRDefault="00C0397A">
      <w:pPr>
        <w:snapToGrid w:val="0"/>
        <w:spacing w:line="440" w:lineRule="exact"/>
        <w:ind w:firstLineChars="192" w:firstLine="403"/>
        <w:rPr>
          <w:rFonts w:ascii="宋体" w:hAnsi="宋体"/>
          <w:szCs w:val="21"/>
        </w:rPr>
      </w:pPr>
      <w:r>
        <w:rPr>
          <w:rFonts w:ascii="宋体" w:hAnsi="宋体" w:hint="eastAsia"/>
          <w:szCs w:val="21"/>
        </w:rPr>
        <w:t>车用柴油按凝点分为5号、0号、-10号、-20号、-35号和-50号六个牌号。</w:t>
      </w:r>
    </w:p>
    <w:p w:rsidR="001B259B" w:rsidRDefault="001B259B">
      <w:pPr>
        <w:snapToGrid w:val="0"/>
        <w:spacing w:line="440" w:lineRule="exact"/>
        <w:ind w:firstLineChars="192" w:firstLine="403"/>
        <w:rPr>
          <w:rFonts w:ascii="宋体" w:hAnsi="宋体"/>
          <w:szCs w:val="21"/>
        </w:rPr>
      </w:pPr>
    </w:p>
    <w:p w:rsidR="001B259B" w:rsidRDefault="00C0397A">
      <w:pPr>
        <w:snapToGrid w:val="0"/>
        <w:spacing w:line="440" w:lineRule="exact"/>
        <w:rPr>
          <w:rFonts w:ascii="黑体" w:eastAsia="黑体" w:hAnsi="宋体"/>
          <w:szCs w:val="21"/>
        </w:rPr>
      </w:pPr>
      <w:r>
        <w:rPr>
          <w:rFonts w:ascii="黑体" w:eastAsia="黑体" w:hAnsi="宋体" w:hint="eastAsia"/>
          <w:szCs w:val="21"/>
        </w:rPr>
        <w:t>3 术语和定义</w:t>
      </w:r>
    </w:p>
    <w:p w:rsidR="001B259B" w:rsidRDefault="00C0397A">
      <w:pPr>
        <w:snapToGrid w:val="0"/>
        <w:spacing w:line="440" w:lineRule="exact"/>
        <w:ind w:firstLineChars="192" w:firstLine="403"/>
        <w:rPr>
          <w:rFonts w:ascii="宋体" w:hAnsi="宋体"/>
          <w:szCs w:val="21"/>
        </w:rPr>
      </w:pPr>
      <w:r>
        <w:rPr>
          <w:rFonts w:ascii="宋体" w:hAnsi="宋体" w:hint="eastAsia"/>
          <w:szCs w:val="21"/>
        </w:rPr>
        <w:t>本细则中未列出的术语和定义同相关引用标准。</w:t>
      </w:r>
    </w:p>
    <w:p w:rsidR="001B259B" w:rsidRDefault="001B259B">
      <w:pPr>
        <w:snapToGrid w:val="0"/>
        <w:spacing w:line="440" w:lineRule="exact"/>
        <w:ind w:firstLineChars="192" w:firstLine="403"/>
        <w:rPr>
          <w:rFonts w:ascii="宋体" w:hAnsi="宋体"/>
          <w:szCs w:val="21"/>
        </w:rPr>
      </w:pPr>
    </w:p>
    <w:p w:rsidR="001B259B" w:rsidRDefault="00C0397A">
      <w:pPr>
        <w:snapToGrid w:val="0"/>
        <w:spacing w:line="440" w:lineRule="exact"/>
        <w:rPr>
          <w:rFonts w:ascii="黑体" w:eastAsia="黑体" w:hAnsi="宋体"/>
          <w:szCs w:val="21"/>
        </w:rPr>
      </w:pPr>
      <w:r>
        <w:rPr>
          <w:rFonts w:ascii="黑体" w:eastAsia="黑体" w:hAnsi="宋体" w:hint="eastAsia"/>
          <w:szCs w:val="21"/>
        </w:rPr>
        <w:t>4 检验依据</w:t>
      </w:r>
    </w:p>
    <w:p w:rsidR="001B259B" w:rsidRDefault="00C0397A">
      <w:pPr>
        <w:snapToGrid w:val="0"/>
        <w:spacing w:line="440" w:lineRule="exact"/>
        <w:ind w:firstLineChars="192" w:firstLine="403"/>
        <w:rPr>
          <w:rFonts w:ascii="宋体" w:hAnsi="宋体"/>
          <w:szCs w:val="21"/>
        </w:rPr>
      </w:pPr>
      <w:r>
        <w:rPr>
          <w:rFonts w:ascii="宋体" w:hAnsi="宋体" w:hint="eastAsia"/>
          <w:szCs w:val="21"/>
        </w:rPr>
        <w:t>凡是注日期的文件，其随后所有的修改单（不包括勘误的内容）或修订版不适用于本细则。凡是不注日期的引用文件，其最新版本适用于本细则。</w:t>
      </w:r>
    </w:p>
    <w:p w:rsidR="00BF4894" w:rsidRDefault="00BF4894" w:rsidP="00BF4894">
      <w:pPr>
        <w:snapToGrid w:val="0"/>
        <w:spacing w:line="440" w:lineRule="exact"/>
        <w:ind w:firstLineChars="192" w:firstLine="403"/>
        <w:rPr>
          <w:rFonts w:ascii="宋体" w:hAnsi="宋体"/>
          <w:szCs w:val="21"/>
        </w:rPr>
      </w:pPr>
      <w:r>
        <w:rPr>
          <w:rFonts w:ascii="宋体" w:hAnsi="宋体"/>
          <w:szCs w:val="21"/>
        </w:rPr>
        <w:t>GB</w:t>
      </w:r>
      <w:r>
        <w:rPr>
          <w:rFonts w:ascii="宋体" w:hAnsi="宋体" w:hint="eastAsia"/>
          <w:szCs w:val="21"/>
        </w:rPr>
        <w:t xml:space="preserve"> </w:t>
      </w:r>
      <w:r>
        <w:rPr>
          <w:rFonts w:ascii="宋体" w:hAnsi="宋体"/>
          <w:szCs w:val="21"/>
        </w:rPr>
        <w:t>19147</w:t>
      </w:r>
      <w:r>
        <w:rPr>
          <w:rFonts w:ascii="宋体" w:hAnsi="宋体" w:hint="eastAsia"/>
          <w:szCs w:val="21"/>
        </w:rPr>
        <w:t xml:space="preserve">   车用柴油</w:t>
      </w:r>
    </w:p>
    <w:p w:rsidR="001B259B" w:rsidRDefault="00C0397A">
      <w:pPr>
        <w:adjustRightInd w:val="0"/>
        <w:snapToGrid w:val="0"/>
        <w:spacing w:line="440" w:lineRule="exact"/>
        <w:ind w:firstLineChars="200" w:firstLine="420"/>
        <w:rPr>
          <w:rFonts w:ascii="宋体" w:hAnsi="宋体"/>
          <w:szCs w:val="21"/>
        </w:rPr>
      </w:pPr>
      <w:r>
        <w:rPr>
          <w:rFonts w:ascii="宋体" w:hAnsi="宋体"/>
          <w:szCs w:val="21"/>
        </w:rPr>
        <w:t>GB/T 261</w:t>
      </w:r>
      <w:r>
        <w:rPr>
          <w:rFonts w:ascii="宋体" w:hAnsi="宋体" w:hint="eastAsia"/>
          <w:szCs w:val="21"/>
        </w:rPr>
        <w:t xml:space="preserve">  </w:t>
      </w:r>
      <w:r w:rsidR="00BF4894">
        <w:rPr>
          <w:rFonts w:ascii="宋体" w:hAnsi="宋体" w:hint="eastAsia"/>
          <w:szCs w:val="21"/>
        </w:rPr>
        <w:t xml:space="preserve"> </w:t>
      </w:r>
      <w:r>
        <w:rPr>
          <w:rFonts w:ascii="宋体" w:hAnsi="宋体" w:hint="eastAsia"/>
          <w:szCs w:val="21"/>
        </w:rPr>
        <w:t>闪点的测定 宾斯基-马丁闭口杯法</w:t>
      </w:r>
    </w:p>
    <w:p w:rsidR="001B259B" w:rsidRDefault="00C0397A">
      <w:pPr>
        <w:adjustRightInd w:val="0"/>
        <w:snapToGrid w:val="0"/>
        <w:spacing w:line="440" w:lineRule="exact"/>
        <w:ind w:firstLineChars="200" w:firstLine="420"/>
        <w:rPr>
          <w:rFonts w:ascii="宋体" w:hAnsi="宋体"/>
          <w:szCs w:val="21"/>
        </w:rPr>
      </w:pPr>
      <w:r>
        <w:rPr>
          <w:rFonts w:ascii="宋体" w:hAnsi="宋体"/>
          <w:szCs w:val="21"/>
        </w:rPr>
        <w:t>GB/T 386</w:t>
      </w:r>
      <w:r>
        <w:rPr>
          <w:rFonts w:ascii="宋体" w:hAnsi="宋体" w:hint="eastAsia"/>
          <w:szCs w:val="21"/>
        </w:rPr>
        <w:t xml:space="preserve">  </w:t>
      </w:r>
      <w:r w:rsidR="00BF4894">
        <w:rPr>
          <w:rFonts w:ascii="宋体" w:hAnsi="宋体" w:hint="eastAsia"/>
          <w:szCs w:val="21"/>
        </w:rPr>
        <w:t xml:space="preserve"> </w:t>
      </w:r>
      <w:r>
        <w:rPr>
          <w:rFonts w:ascii="宋体" w:hAnsi="宋体" w:hint="eastAsia"/>
          <w:szCs w:val="21"/>
        </w:rPr>
        <w:t>柴油十六烷值测定法</w:t>
      </w:r>
    </w:p>
    <w:p w:rsidR="001B259B" w:rsidRDefault="00C0397A">
      <w:pPr>
        <w:adjustRightInd w:val="0"/>
        <w:snapToGrid w:val="0"/>
        <w:spacing w:line="440" w:lineRule="exact"/>
        <w:ind w:firstLineChars="200" w:firstLine="420"/>
        <w:rPr>
          <w:rFonts w:ascii="宋体" w:hAnsi="宋体"/>
          <w:szCs w:val="21"/>
        </w:rPr>
      </w:pPr>
      <w:r>
        <w:rPr>
          <w:rFonts w:ascii="宋体" w:hAnsi="宋体" w:hint="eastAsia"/>
          <w:szCs w:val="21"/>
        </w:rPr>
        <w:t>GB/T</w:t>
      </w:r>
      <w:r>
        <w:rPr>
          <w:rFonts w:ascii="宋体" w:hAnsi="宋体"/>
          <w:szCs w:val="21"/>
        </w:rPr>
        <w:t xml:space="preserve"> </w:t>
      </w:r>
      <w:r>
        <w:rPr>
          <w:rFonts w:ascii="宋体" w:hAnsi="宋体" w:hint="eastAsia"/>
          <w:szCs w:val="21"/>
        </w:rPr>
        <w:t xml:space="preserve">1884  </w:t>
      </w:r>
      <w:r>
        <w:rPr>
          <w:rFonts w:ascii="宋体" w:hAnsi="宋体"/>
          <w:szCs w:val="21"/>
        </w:rPr>
        <w:t>原油和液体石油产品密度实验室测定法(密度计法)</w:t>
      </w:r>
    </w:p>
    <w:p w:rsidR="001B259B" w:rsidRDefault="00C0397A">
      <w:pPr>
        <w:adjustRightInd w:val="0"/>
        <w:snapToGrid w:val="0"/>
        <w:spacing w:line="440" w:lineRule="exact"/>
        <w:ind w:firstLineChars="200" w:firstLine="420"/>
        <w:rPr>
          <w:rFonts w:ascii="宋体" w:hAnsi="宋体"/>
          <w:szCs w:val="21"/>
        </w:rPr>
      </w:pPr>
      <w:r>
        <w:rPr>
          <w:rFonts w:ascii="宋体" w:hAnsi="宋体" w:hint="eastAsia"/>
          <w:szCs w:val="21"/>
        </w:rPr>
        <w:t>GB/T</w:t>
      </w:r>
      <w:r>
        <w:rPr>
          <w:rFonts w:ascii="宋体" w:hAnsi="宋体"/>
          <w:szCs w:val="21"/>
        </w:rPr>
        <w:t xml:space="preserve"> </w:t>
      </w:r>
      <w:r>
        <w:rPr>
          <w:rFonts w:ascii="宋体" w:hAnsi="宋体" w:hint="eastAsia"/>
          <w:szCs w:val="21"/>
        </w:rPr>
        <w:t xml:space="preserve">1885  </w:t>
      </w:r>
      <w:r>
        <w:rPr>
          <w:rFonts w:ascii="宋体" w:hAnsi="宋体"/>
          <w:szCs w:val="21"/>
        </w:rPr>
        <w:t>石油计量表</w:t>
      </w:r>
    </w:p>
    <w:p w:rsidR="001B259B" w:rsidRDefault="00C0397A">
      <w:pPr>
        <w:adjustRightInd w:val="0"/>
        <w:snapToGrid w:val="0"/>
        <w:spacing w:line="440" w:lineRule="exact"/>
        <w:ind w:firstLineChars="200" w:firstLine="420"/>
        <w:rPr>
          <w:rFonts w:ascii="宋体" w:hAnsi="宋体"/>
          <w:szCs w:val="21"/>
        </w:rPr>
      </w:pPr>
      <w:r>
        <w:rPr>
          <w:rFonts w:ascii="宋体" w:hAnsi="宋体" w:hint="eastAsia"/>
          <w:szCs w:val="21"/>
        </w:rPr>
        <w:t>GB/T 4756  石油液体手工取样法</w:t>
      </w:r>
    </w:p>
    <w:p w:rsidR="001B259B" w:rsidRDefault="00C0397A">
      <w:pPr>
        <w:adjustRightInd w:val="0"/>
        <w:snapToGrid w:val="0"/>
        <w:spacing w:line="440" w:lineRule="exact"/>
        <w:ind w:firstLineChars="200" w:firstLine="420"/>
        <w:rPr>
          <w:rFonts w:ascii="宋体" w:hAnsi="宋体"/>
          <w:szCs w:val="21"/>
        </w:rPr>
      </w:pPr>
      <w:r>
        <w:rPr>
          <w:rFonts w:ascii="宋体" w:hAnsi="宋体"/>
          <w:szCs w:val="21"/>
        </w:rPr>
        <w:t>GB/T 6536</w:t>
      </w:r>
      <w:r>
        <w:rPr>
          <w:rFonts w:ascii="宋体" w:hAnsi="宋体" w:hint="eastAsia"/>
          <w:szCs w:val="21"/>
        </w:rPr>
        <w:t xml:space="preserve">  石油产品常压蒸馏特性测定法</w:t>
      </w:r>
    </w:p>
    <w:p w:rsidR="001B259B" w:rsidRDefault="00C0397A">
      <w:pPr>
        <w:adjustRightInd w:val="0"/>
        <w:snapToGrid w:val="0"/>
        <w:spacing w:line="440" w:lineRule="exact"/>
        <w:ind w:firstLineChars="200" w:firstLine="420"/>
        <w:rPr>
          <w:rFonts w:ascii="宋体" w:hAnsi="宋体"/>
          <w:szCs w:val="21"/>
        </w:rPr>
      </w:pPr>
      <w:r>
        <w:rPr>
          <w:rFonts w:ascii="宋体" w:hAnsi="宋体" w:hint="eastAsia"/>
          <w:szCs w:val="21"/>
        </w:rPr>
        <w:t>SH/T 0689  轻质烃及发动机燃料和其它油品的总硫含量测定法（紫外荧光法）</w:t>
      </w:r>
    </w:p>
    <w:p w:rsidR="001B259B" w:rsidRDefault="00C0397A">
      <w:pPr>
        <w:adjustRightInd w:val="0"/>
        <w:snapToGrid w:val="0"/>
        <w:spacing w:line="440" w:lineRule="exact"/>
        <w:ind w:firstLineChars="200" w:firstLine="420"/>
        <w:rPr>
          <w:rFonts w:ascii="宋体" w:hAnsi="宋体"/>
          <w:szCs w:val="21"/>
        </w:rPr>
      </w:pPr>
      <w:r>
        <w:rPr>
          <w:rFonts w:ascii="宋体" w:hAnsi="宋体" w:hint="eastAsia"/>
          <w:szCs w:val="21"/>
        </w:rPr>
        <w:t>相关的法律法规、部门规章和规范</w:t>
      </w:r>
    </w:p>
    <w:p w:rsidR="001B259B" w:rsidRDefault="00C0397A">
      <w:pPr>
        <w:snapToGrid w:val="0"/>
        <w:spacing w:line="480" w:lineRule="exact"/>
        <w:ind w:firstLineChars="200" w:firstLine="420"/>
        <w:rPr>
          <w:rFonts w:ascii="宋体" w:hAnsi="宋体"/>
          <w:szCs w:val="21"/>
        </w:rPr>
      </w:pPr>
      <w:r>
        <w:rPr>
          <w:rFonts w:ascii="宋体" w:hAnsi="宋体" w:cs="Sim Sun" w:hint="eastAsia"/>
          <w:kern w:val="0"/>
          <w:szCs w:val="21"/>
        </w:rPr>
        <w:t>已</w:t>
      </w:r>
      <w:r>
        <w:rPr>
          <w:rFonts w:ascii="宋体" w:hAnsi="宋体" w:hint="eastAsia"/>
          <w:szCs w:val="21"/>
        </w:rPr>
        <w:t>经在全国企业标准信息公共服务平台自我声明公开或备案有效期内现行有效的企业标准及产品明示质量要求。</w:t>
      </w:r>
    </w:p>
    <w:p w:rsidR="001B259B" w:rsidRDefault="001B259B">
      <w:pPr>
        <w:snapToGrid w:val="0"/>
        <w:spacing w:line="440" w:lineRule="exact"/>
        <w:ind w:firstLineChars="200" w:firstLine="420"/>
        <w:rPr>
          <w:rFonts w:ascii="宋体" w:hAnsi="宋体"/>
          <w:szCs w:val="21"/>
        </w:rPr>
      </w:pPr>
    </w:p>
    <w:p w:rsidR="001B259B" w:rsidRDefault="00C0397A">
      <w:pPr>
        <w:snapToGrid w:val="0"/>
        <w:spacing w:line="440" w:lineRule="exact"/>
        <w:rPr>
          <w:rFonts w:ascii="黑体" w:eastAsia="黑体" w:hAnsi="黑体"/>
          <w:szCs w:val="21"/>
        </w:rPr>
      </w:pPr>
      <w:r>
        <w:rPr>
          <w:rFonts w:ascii="黑体" w:eastAsia="黑体" w:hAnsi="黑体" w:hint="eastAsia"/>
          <w:szCs w:val="21"/>
        </w:rPr>
        <w:t>5 抽样</w:t>
      </w:r>
    </w:p>
    <w:p w:rsidR="001B259B" w:rsidRDefault="00C0397A">
      <w:pPr>
        <w:snapToGrid w:val="0"/>
        <w:spacing w:line="440" w:lineRule="exact"/>
        <w:rPr>
          <w:rFonts w:ascii="宋体" w:hAnsi="宋体"/>
          <w:szCs w:val="21"/>
        </w:rPr>
      </w:pPr>
      <w:r>
        <w:rPr>
          <w:rFonts w:ascii="宋体" w:hAnsi="宋体" w:hint="eastAsia"/>
          <w:szCs w:val="21"/>
        </w:rPr>
        <w:t>5.1 抽样牌号或规格</w:t>
      </w:r>
    </w:p>
    <w:p w:rsidR="001B259B" w:rsidRDefault="00C0397A">
      <w:pPr>
        <w:spacing w:line="440" w:lineRule="exact"/>
        <w:ind w:firstLineChars="200" w:firstLine="420"/>
        <w:rPr>
          <w:rFonts w:ascii="宋体" w:hAnsi="宋体"/>
          <w:szCs w:val="21"/>
        </w:rPr>
      </w:pPr>
      <w:r>
        <w:rPr>
          <w:rFonts w:ascii="宋体" w:hAnsi="宋体" w:hint="eastAsia"/>
          <w:szCs w:val="21"/>
        </w:rPr>
        <w:t>抽取样品应为同一牌号、同一储罐的产品。</w:t>
      </w:r>
    </w:p>
    <w:p w:rsidR="001B259B" w:rsidRDefault="00C0397A">
      <w:pPr>
        <w:spacing w:line="440" w:lineRule="exact"/>
        <w:rPr>
          <w:rFonts w:ascii="宋体" w:hAnsi="宋体"/>
          <w:szCs w:val="21"/>
        </w:rPr>
      </w:pPr>
      <w:r>
        <w:rPr>
          <w:rFonts w:ascii="宋体" w:hAnsi="宋体" w:hint="eastAsia"/>
          <w:szCs w:val="21"/>
        </w:rPr>
        <w:t>5.2 抽样方法、基数、数量及注意事项</w:t>
      </w:r>
    </w:p>
    <w:p w:rsidR="001B259B" w:rsidRDefault="00C0397A">
      <w:pPr>
        <w:spacing w:line="440" w:lineRule="exact"/>
        <w:rPr>
          <w:rFonts w:ascii="宋体" w:hAnsi="宋体"/>
          <w:szCs w:val="21"/>
        </w:rPr>
      </w:pPr>
      <w:r>
        <w:rPr>
          <w:rFonts w:ascii="宋体" w:hAnsi="宋体" w:hint="eastAsia"/>
          <w:szCs w:val="21"/>
        </w:rPr>
        <w:t>5.2.1 抽样方法</w:t>
      </w:r>
    </w:p>
    <w:p w:rsidR="001B259B" w:rsidRDefault="00C0397A">
      <w:pPr>
        <w:spacing w:line="440" w:lineRule="exact"/>
        <w:ind w:firstLineChars="200" w:firstLine="420"/>
        <w:rPr>
          <w:rFonts w:ascii="宋体" w:hAnsi="宋体" w:cs="Sim Sun"/>
          <w:kern w:val="0"/>
          <w:szCs w:val="21"/>
        </w:rPr>
      </w:pPr>
      <w:r>
        <w:rPr>
          <w:rFonts w:ascii="宋体" w:hAnsi="宋体" w:cs="Sim Sun" w:hint="eastAsia"/>
          <w:kern w:val="0"/>
          <w:szCs w:val="21"/>
        </w:rPr>
        <w:t>在企业成品罐内随机抽取有产品质量检验合格证明或者以其他形式表明合格的、近期生产的产品（特殊情况除外）。</w:t>
      </w:r>
    </w:p>
    <w:p w:rsidR="001B259B" w:rsidRDefault="00C0397A">
      <w:pPr>
        <w:spacing w:line="440" w:lineRule="exact"/>
        <w:ind w:firstLineChars="200" w:firstLine="420"/>
        <w:rPr>
          <w:rFonts w:ascii="宋体" w:hAnsi="宋体" w:cs="Sim Sun"/>
          <w:kern w:val="0"/>
          <w:szCs w:val="21"/>
        </w:rPr>
      </w:pPr>
      <w:r>
        <w:rPr>
          <w:rFonts w:ascii="宋体" w:hAnsi="宋体" w:cs="Sim Sun" w:hint="eastAsia"/>
          <w:kern w:val="0"/>
          <w:szCs w:val="21"/>
        </w:rPr>
        <w:t>在市场待销产品中随机抽取同一</w:t>
      </w:r>
      <w:r>
        <w:rPr>
          <w:rFonts w:ascii="宋体" w:hAnsi="宋体" w:hint="eastAsia"/>
          <w:szCs w:val="21"/>
        </w:rPr>
        <w:t>牌号</w:t>
      </w:r>
      <w:r>
        <w:rPr>
          <w:rFonts w:ascii="宋体" w:hAnsi="宋体" w:cs="Sim Sun" w:hint="eastAsia"/>
          <w:kern w:val="0"/>
          <w:szCs w:val="21"/>
        </w:rPr>
        <w:t>、同一储罐的产品。</w:t>
      </w:r>
    </w:p>
    <w:p w:rsidR="001B259B" w:rsidRDefault="00C0397A">
      <w:pPr>
        <w:spacing w:line="440" w:lineRule="exact"/>
        <w:ind w:firstLineChars="200" w:firstLine="420"/>
        <w:rPr>
          <w:rFonts w:ascii="宋体" w:hAnsi="宋体" w:cs="Sim Sun"/>
          <w:kern w:val="0"/>
          <w:szCs w:val="21"/>
        </w:rPr>
      </w:pPr>
      <w:r>
        <w:rPr>
          <w:rFonts w:ascii="宋体" w:hAnsi="宋体" w:hint="eastAsia"/>
          <w:szCs w:val="21"/>
        </w:rPr>
        <w:t>通过随机确定抽样的油罐号或加油枪号。在生产企业抽取经企业检验合格或以任何方式表明合格（合格证、合格报告、企业相关人员确认等方式均可）的产品，生产领域、流通领域所抽取产品的保质期（未注明保质期的按尚在保质期内处理）应能确保整个监督抽查（包含异议处理）工作的完成。</w:t>
      </w:r>
    </w:p>
    <w:p w:rsidR="001B259B" w:rsidRDefault="00C0397A">
      <w:pPr>
        <w:spacing w:line="440" w:lineRule="exact"/>
        <w:rPr>
          <w:rFonts w:ascii="宋体" w:hAnsi="宋体"/>
          <w:szCs w:val="21"/>
        </w:rPr>
      </w:pPr>
      <w:r>
        <w:rPr>
          <w:rFonts w:ascii="宋体" w:hAnsi="宋体" w:hint="eastAsia"/>
          <w:szCs w:val="21"/>
        </w:rPr>
        <w:t>5.2.2 抽样基数</w:t>
      </w:r>
    </w:p>
    <w:p w:rsidR="001B259B" w:rsidRDefault="00C0397A">
      <w:pPr>
        <w:spacing w:line="440" w:lineRule="exact"/>
        <w:ind w:firstLineChars="200" w:firstLine="420"/>
        <w:rPr>
          <w:szCs w:val="21"/>
        </w:rPr>
      </w:pPr>
      <w:r>
        <w:rPr>
          <w:rFonts w:hint="eastAsia"/>
          <w:szCs w:val="21"/>
        </w:rPr>
        <w:t>应为抽查</w:t>
      </w:r>
      <w:r>
        <w:rPr>
          <w:rFonts w:ascii="宋体" w:hAnsi="宋体" w:hint="eastAsia"/>
          <w:szCs w:val="21"/>
        </w:rPr>
        <w:t>同一牌号</w:t>
      </w:r>
      <w:r>
        <w:rPr>
          <w:rFonts w:hint="eastAsia"/>
          <w:szCs w:val="21"/>
        </w:rPr>
        <w:t>、同一储罐的产品。在</w:t>
      </w:r>
      <w:r>
        <w:rPr>
          <w:rFonts w:ascii="宋体" w:hAnsi="宋体" w:hint="eastAsia"/>
          <w:szCs w:val="21"/>
        </w:rPr>
        <w:t>生产企业抽样时抽样基数不少于其可以正常对外发油状态时的最低罐存量，</w:t>
      </w:r>
      <w:r>
        <w:rPr>
          <w:rFonts w:hint="eastAsia"/>
          <w:szCs w:val="21"/>
        </w:rPr>
        <w:t>在市场抽查时抽样基数满足抽样数量即可。</w:t>
      </w:r>
    </w:p>
    <w:p w:rsidR="001B259B" w:rsidRDefault="00C0397A">
      <w:pPr>
        <w:tabs>
          <w:tab w:val="left" w:pos="1320"/>
        </w:tabs>
        <w:snapToGrid w:val="0"/>
        <w:spacing w:line="440" w:lineRule="exact"/>
        <w:rPr>
          <w:rFonts w:ascii="宋体" w:hAnsi="宋体"/>
          <w:szCs w:val="21"/>
        </w:rPr>
      </w:pPr>
      <w:r>
        <w:rPr>
          <w:rFonts w:ascii="宋体" w:hAnsi="宋体" w:hint="eastAsia"/>
          <w:szCs w:val="21"/>
        </w:rPr>
        <w:t>5.2.3 抽样数量</w:t>
      </w:r>
    </w:p>
    <w:p w:rsidR="001B259B" w:rsidRDefault="00C0397A">
      <w:pPr>
        <w:spacing w:line="440" w:lineRule="exact"/>
        <w:ind w:firstLineChars="200" w:firstLine="420"/>
        <w:rPr>
          <w:rFonts w:ascii="宋体" w:hAnsi="宋体"/>
          <w:szCs w:val="21"/>
        </w:rPr>
      </w:pPr>
      <w:r>
        <w:rPr>
          <w:rFonts w:ascii="宋体" w:hAnsi="宋体" w:hint="eastAsia"/>
          <w:szCs w:val="21"/>
        </w:rPr>
        <w:lastRenderedPageBreak/>
        <w:t>在生产领域的成品罐抽样时，取样方法执行GB/T 4756《石油液体手工采样法》。成品罐中的点样最小规定数应符合表1的规定。取4L为样本，其中检验样品2L，备用样品2L，盛装在铁桶、玻璃瓶或其它适宜的容器中,盛装石油产品的容器，必须完整、清洁、不漏、经检查符合要求后，方能使用。在加油站抽样时，直接从加油机油枪中取样，抽取样品数量和容器要求与生产企业的成品罐抽样时相同。应采取随机抽样方法抽取样品。</w:t>
      </w:r>
    </w:p>
    <w:p w:rsidR="001B259B" w:rsidRDefault="00C0397A">
      <w:pPr>
        <w:snapToGrid w:val="0"/>
        <w:spacing w:line="440" w:lineRule="exact"/>
        <w:jc w:val="center"/>
        <w:rPr>
          <w:rFonts w:ascii="宋体" w:hAnsi="宋体"/>
          <w:szCs w:val="21"/>
        </w:rPr>
      </w:pPr>
      <w:r>
        <w:rPr>
          <w:rFonts w:ascii="宋体" w:hAnsi="宋体" w:hint="eastAsia"/>
          <w:szCs w:val="21"/>
        </w:rPr>
        <w:t>表1</w:t>
      </w:r>
      <w:r>
        <w:rPr>
          <w:rFonts w:ascii="宋体" w:hAnsi="宋体"/>
          <w:szCs w:val="21"/>
        </w:rPr>
        <w:t xml:space="preserve"> </w:t>
      </w:r>
      <w:r>
        <w:rPr>
          <w:rFonts w:ascii="宋体" w:hAnsi="宋体" w:hint="eastAsia"/>
          <w:szCs w:val="21"/>
        </w:rPr>
        <w:t>点样最小规定数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08"/>
        <w:gridCol w:w="2208"/>
        <w:gridCol w:w="2209"/>
        <w:gridCol w:w="2209"/>
      </w:tblGrid>
      <w:tr w:rsidR="001B259B">
        <w:tc>
          <w:tcPr>
            <w:tcW w:w="2208" w:type="dxa"/>
            <w:vMerge w:val="restart"/>
            <w:vAlign w:val="center"/>
          </w:tcPr>
          <w:p w:rsidR="001B259B" w:rsidRDefault="00C0397A">
            <w:pPr>
              <w:snapToGrid w:val="0"/>
              <w:jc w:val="center"/>
              <w:outlineLvl w:val="0"/>
              <w:rPr>
                <w:rFonts w:ascii="宋体" w:hAnsi="宋体"/>
                <w:kern w:val="0"/>
                <w:szCs w:val="21"/>
              </w:rPr>
            </w:pPr>
            <w:r>
              <w:rPr>
                <w:rFonts w:ascii="宋体" w:hAnsi="宋体" w:hint="eastAsia"/>
                <w:kern w:val="0"/>
                <w:szCs w:val="21"/>
              </w:rPr>
              <w:t>液位（</w:t>
            </w:r>
            <w:r>
              <w:rPr>
                <w:rFonts w:ascii="宋体" w:hAnsi="宋体"/>
                <w:kern w:val="0"/>
                <w:szCs w:val="21"/>
              </w:rPr>
              <w:t>L</w:t>
            </w:r>
            <w:r>
              <w:rPr>
                <w:rFonts w:ascii="宋体" w:hAnsi="宋体" w:hint="eastAsia"/>
                <w:kern w:val="0"/>
                <w:szCs w:val="21"/>
              </w:rPr>
              <w:t>）</w:t>
            </w:r>
          </w:p>
        </w:tc>
        <w:tc>
          <w:tcPr>
            <w:tcW w:w="6626" w:type="dxa"/>
            <w:gridSpan w:val="3"/>
          </w:tcPr>
          <w:p w:rsidR="001B259B" w:rsidRDefault="00C0397A">
            <w:pPr>
              <w:snapToGrid w:val="0"/>
              <w:jc w:val="center"/>
              <w:outlineLvl w:val="0"/>
              <w:rPr>
                <w:rFonts w:ascii="宋体" w:hAnsi="宋体"/>
                <w:kern w:val="0"/>
                <w:szCs w:val="21"/>
              </w:rPr>
            </w:pPr>
            <w:r>
              <w:rPr>
                <w:rFonts w:ascii="宋体" w:hAnsi="宋体" w:hint="eastAsia"/>
                <w:kern w:val="0"/>
                <w:szCs w:val="21"/>
              </w:rPr>
              <w:t>取样的点数和位置</w:t>
            </w:r>
          </w:p>
        </w:tc>
      </w:tr>
      <w:tr w:rsidR="001B259B">
        <w:tc>
          <w:tcPr>
            <w:tcW w:w="2208" w:type="dxa"/>
            <w:vMerge/>
          </w:tcPr>
          <w:p w:rsidR="001B259B" w:rsidRDefault="001B259B">
            <w:pPr>
              <w:snapToGrid w:val="0"/>
              <w:outlineLvl w:val="0"/>
              <w:rPr>
                <w:rFonts w:ascii="宋体" w:hAnsi="宋体"/>
                <w:kern w:val="0"/>
                <w:szCs w:val="21"/>
              </w:rPr>
            </w:pPr>
          </w:p>
        </w:tc>
        <w:tc>
          <w:tcPr>
            <w:tcW w:w="2208" w:type="dxa"/>
          </w:tcPr>
          <w:p w:rsidR="001B259B" w:rsidRDefault="00C0397A">
            <w:pPr>
              <w:snapToGrid w:val="0"/>
              <w:jc w:val="center"/>
              <w:outlineLvl w:val="0"/>
              <w:rPr>
                <w:rFonts w:ascii="宋体" w:hAnsi="宋体"/>
                <w:kern w:val="0"/>
                <w:szCs w:val="21"/>
              </w:rPr>
            </w:pPr>
            <w:r>
              <w:rPr>
                <w:rFonts w:ascii="宋体" w:hAnsi="宋体" w:hint="eastAsia"/>
                <w:kern w:val="0"/>
                <w:szCs w:val="21"/>
              </w:rPr>
              <w:t>上部</w:t>
            </w:r>
          </w:p>
        </w:tc>
        <w:tc>
          <w:tcPr>
            <w:tcW w:w="2209" w:type="dxa"/>
          </w:tcPr>
          <w:p w:rsidR="001B259B" w:rsidRDefault="00C0397A">
            <w:pPr>
              <w:snapToGrid w:val="0"/>
              <w:jc w:val="center"/>
              <w:outlineLvl w:val="0"/>
              <w:rPr>
                <w:rFonts w:ascii="宋体" w:hAnsi="宋体"/>
                <w:kern w:val="0"/>
                <w:szCs w:val="21"/>
              </w:rPr>
            </w:pPr>
            <w:r>
              <w:rPr>
                <w:rFonts w:ascii="宋体" w:hAnsi="宋体" w:hint="eastAsia"/>
                <w:kern w:val="0"/>
                <w:szCs w:val="21"/>
              </w:rPr>
              <w:t>中部</w:t>
            </w:r>
          </w:p>
        </w:tc>
        <w:tc>
          <w:tcPr>
            <w:tcW w:w="2209" w:type="dxa"/>
          </w:tcPr>
          <w:p w:rsidR="001B259B" w:rsidRDefault="00C0397A">
            <w:pPr>
              <w:snapToGrid w:val="0"/>
              <w:jc w:val="center"/>
              <w:outlineLvl w:val="0"/>
              <w:rPr>
                <w:rFonts w:ascii="宋体" w:hAnsi="宋体"/>
                <w:kern w:val="0"/>
                <w:szCs w:val="21"/>
              </w:rPr>
            </w:pPr>
            <w:r>
              <w:rPr>
                <w:rFonts w:ascii="宋体" w:hAnsi="宋体" w:hint="eastAsia"/>
                <w:kern w:val="0"/>
                <w:szCs w:val="21"/>
              </w:rPr>
              <w:t>下部</w:t>
            </w:r>
          </w:p>
        </w:tc>
      </w:tr>
      <w:tr w:rsidR="001B259B">
        <w:tc>
          <w:tcPr>
            <w:tcW w:w="2208" w:type="dxa"/>
          </w:tcPr>
          <w:p w:rsidR="001B259B" w:rsidRDefault="00C0397A">
            <w:pPr>
              <w:snapToGrid w:val="0"/>
              <w:jc w:val="center"/>
              <w:outlineLvl w:val="0"/>
              <w:rPr>
                <w:rFonts w:ascii="宋体" w:hAnsi="宋体"/>
                <w:kern w:val="0"/>
                <w:szCs w:val="21"/>
              </w:rPr>
            </w:pPr>
            <w:r>
              <w:rPr>
                <w:rFonts w:ascii="宋体" w:hAnsi="宋体"/>
                <w:kern w:val="0"/>
                <w:szCs w:val="21"/>
              </w:rPr>
              <w:t>L</w:t>
            </w:r>
            <w:r>
              <w:rPr>
                <w:rFonts w:ascii="宋体" w:hAnsi="宋体" w:hint="eastAsia"/>
                <w:kern w:val="0"/>
                <w:szCs w:val="21"/>
              </w:rPr>
              <w:t>≤</w:t>
            </w:r>
            <w:r>
              <w:rPr>
                <w:rFonts w:ascii="宋体" w:hAnsi="宋体"/>
                <w:kern w:val="0"/>
                <w:szCs w:val="21"/>
              </w:rPr>
              <w:t>3m</w:t>
            </w:r>
          </w:p>
        </w:tc>
        <w:tc>
          <w:tcPr>
            <w:tcW w:w="2208" w:type="dxa"/>
          </w:tcPr>
          <w:p w:rsidR="001B259B" w:rsidRDefault="001B259B">
            <w:pPr>
              <w:snapToGrid w:val="0"/>
              <w:jc w:val="center"/>
              <w:outlineLvl w:val="0"/>
              <w:rPr>
                <w:rFonts w:ascii="宋体" w:hAnsi="宋体"/>
                <w:kern w:val="0"/>
                <w:szCs w:val="21"/>
              </w:rPr>
            </w:pPr>
          </w:p>
        </w:tc>
        <w:tc>
          <w:tcPr>
            <w:tcW w:w="2209" w:type="dxa"/>
          </w:tcPr>
          <w:p w:rsidR="001B259B" w:rsidRDefault="00C0397A">
            <w:pPr>
              <w:snapToGrid w:val="0"/>
              <w:jc w:val="center"/>
              <w:outlineLvl w:val="0"/>
              <w:rPr>
                <w:rFonts w:ascii="宋体" w:hAnsi="宋体"/>
                <w:kern w:val="0"/>
                <w:szCs w:val="21"/>
              </w:rPr>
            </w:pPr>
            <w:r>
              <w:rPr>
                <w:rFonts w:ascii="宋体" w:hAnsi="宋体" w:hint="eastAsia"/>
                <w:kern w:val="0"/>
                <w:szCs w:val="21"/>
              </w:rPr>
              <w:t>●</w:t>
            </w:r>
          </w:p>
        </w:tc>
        <w:tc>
          <w:tcPr>
            <w:tcW w:w="2209" w:type="dxa"/>
          </w:tcPr>
          <w:p w:rsidR="001B259B" w:rsidRDefault="001B259B">
            <w:pPr>
              <w:snapToGrid w:val="0"/>
              <w:jc w:val="center"/>
              <w:outlineLvl w:val="0"/>
              <w:rPr>
                <w:rFonts w:ascii="宋体" w:hAnsi="宋体"/>
                <w:kern w:val="0"/>
                <w:szCs w:val="21"/>
              </w:rPr>
            </w:pPr>
          </w:p>
        </w:tc>
      </w:tr>
      <w:tr w:rsidR="001B259B">
        <w:tc>
          <w:tcPr>
            <w:tcW w:w="2208" w:type="dxa"/>
          </w:tcPr>
          <w:p w:rsidR="001B259B" w:rsidRDefault="00C0397A">
            <w:pPr>
              <w:snapToGrid w:val="0"/>
              <w:jc w:val="center"/>
              <w:outlineLvl w:val="0"/>
              <w:rPr>
                <w:rFonts w:ascii="宋体" w:hAnsi="宋体"/>
                <w:kern w:val="0"/>
                <w:szCs w:val="21"/>
              </w:rPr>
            </w:pPr>
            <w:r>
              <w:rPr>
                <w:rFonts w:ascii="宋体" w:hAnsi="宋体"/>
                <w:kern w:val="0"/>
                <w:szCs w:val="21"/>
              </w:rPr>
              <w:t>3m</w:t>
            </w:r>
            <w:r>
              <w:rPr>
                <w:rFonts w:ascii="宋体" w:hAnsi="宋体" w:hint="eastAsia"/>
                <w:kern w:val="0"/>
                <w:szCs w:val="21"/>
              </w:rPr>
              <w:t>＜</w:t>
            </w:r>
            <w:r>
              <w:rPr>
                <w:rFonts w:ascii="宋体" w:hAnsi="宋体"/>
                <w:kern w:val="0"/>
                <w:szCs w:val="21"/>
              </w:rPr>
              <w:t>L</w:t>
            </w:r>
            <w:r>
              <w:rPr>
                <w:rFonts w:ascii="宋体" w:hAnsi="宋体" w:hint="eastAsia"/>
                <w:kern w:val="0"/>
                <w:szCs w:val="21"/>
              </w:rPr>
              <w:t>≤</w:t>
            </w:r>
            <w:r>
              <w:rPr>
                <w:rFonts w:ascii="宋体" w:hAnsi="宋体"/>
                <w:kern w:val="0"/>
                <w:szCs w:val="21"/>
              </w:rPr>
              <w:t>4.5m</w:t>
            </w:r>
          </w:p>
        </w:tc>
        <w:tc>
          <w:tcPr>
            <w:tcW w:w="2208" w:type="dxa"/>
          </w:tcPr>
          <w:p w:rsidR="001B259B" w:rsidRDefault="00C0397A">
            <w:pPr>
              <w:snapToGrid w:val="0"/>
              <w:jc w:val="center"/>
              <w:outlineLvl w:val="0"/>
              <w:rPr>
                <w:rFonts w:ascii="宋体" w:hAnsi="宋体"/>
                <w:kern w:val="0"/>
                <w:szCs w:val="21"/>
              </w:rPr>
            </w:pPr>
            <w:r>
              <w:rPr>
                <w:rFonts w:ascii="宋体" w:hAnsi="宋体" w:hint="eastAsia"/>
                <w:kern w:val="0"/>
                <w:szCs w:val="21"/>
              </w:rPr>
              <w:t>●</w:t>
            </w:r>
          </w:p>
        </w:tc>
        <w:tc>
          <w:tcPr>
            <w:tcW w:w="2209" w:type="dxa"/>
          </w:tcPr>
          <w:p w:rsidR="001B259B" w:rsidRDefault="001B259B">
            <w:pPr>
              <w:snapToGrid w:val="0"/>
              <w:jc w:val="center"/>
              <w:outlineLvl w:val="0"/>
              <w:rPr>
                <w:rFonts w:ascii="宋体" w:hAnsi="宋体"/>
                <w:kern w:val="0"/>
                <w:szCs w:val="21"/>
              </w:rPr>
            </w:pPr>
          </w:p>
        </w:tc>
        <w:tc>
          <w:tcPr>
            <w:tcW w:w="2209" w:type="dxa"/>
          </w:tcPr>
          <w:p w:rsidR="001B259B" w:rsidRDefault="00C0397A">
            <w:pPr>
              <w:snapToGrid w:val="0"/>
              <w:jc w:val="center"/>
              <w:outlineLvl w:val="0"/>
              <w:rPr>
                <w:rFonts w:ascii="宋体" w:hAnsi="宋体"/>
                <w:kern w:val="0"/>
                <w:szCs w:val="21"/>
              </w:rPr>
            </w:pPr>
            <w:r>
              <w:rPr>
                <w:rFonts w:ascii="宋体" w:hAnsi="宋体" w:hint="eastAsia"/>
                <w:kern w:val="0"/>
                <w:szCs w:val="21"/>
              </w:rPr>
              <w:t>●</w:t>
            </w:r>
          </w:p>
        </w:tc>
      </w:tr>
      <w:tr w:rsidR="001B259B">
        <w:tc>
          <w:tcPr>
            <w:tcW w:w="2208" w:type="dxa"/>
          </w:tcPr>
          <w:p w:rsidR="001B259B" w:rsidRDefault="00C0397A">
            <w:pPr>
              <w:snapToGrid w:val="0"/>
              <w:jc w:val="center"/>
              <w:outlineLvl w:val="0"/>
              <w:rPr>
                <w:rFonts w:ascii="宋体" w:hAnsi="宋体"/>
                <w:kern w:val="0"/>
                <w:szCs w:val="21"/>
              </w:rPr>
            </w:pPr>
            <w:r>
              <w:rPr>
                <w:rFonts w:ascii="宋体" w:hAnsi="宋体"/>
                <w:kern w:val="0"/>
                <w:szCs w:val="21"/>
              </w:rPr>
              <w:t>L</w:t>
            </w:r>
            <w:r>
              <w:rPr>
                <w:rFonts w:ascii="宋体" w:hAnsi="宋体" w:hint="eastAsia"/>
                <w:kern w:val="0"/>
                <w:szCs w:val="21"/>
              </w:rPr>
              <w:t>＞</w:t>
            </w:r>
            <w:r>
              <w:rPr>
                <w:rFonts w:ascii="宋体" w:hAnsi="宋体"/>
                <w:kern w:val="0"/>
                <w:szCs w:val="21"/>
              </w:rPr>
              <w:t>4.5m</w:t>
            </w:r>
          </w:p>
        </w:tc>
        <w:tc>
          <w:tcPr>
            <w:tcW w:w="2208" w:type="dxa"/>
          </w:tcPr>
          <w:p w:rsidR="001B259B" w:rsidRDefault="00C0397A">
            <w:pPr>
              <w:snapToGrid w:val="0"/>
              <w:jc w:val="center"/>
              <w:outlineLvl w:val="0"/>
              <w:rPr>
                <w:rFonts w:ascii="宋体" w:hAnsi="宋体"/>
                <w:kern w:val="0"/>
                <w:szCs w:val="21"/>
              </w:rPr>
            </w:pPr>
            <w:r>
              <w:rPr>
                <w:rFonts w:ascii="宋体" w:hAnsi="宋体" w:hint="eastAsia"/>
                <w:kern w:val="0"/>
                <w:szCs w:val="21"/>
              </w:rPr>
              <w:t>●</w:t>
            </w:r>
          </w:p>
        </w:tc>
        <w:tc>
          <w:tcPr>
            <w:tcW w:w="2209" w:type="dxa"/>
          </w:tcPr>
          <w:p w:rsidR="001B259B" w:rsidRDefault="00C0397A">
            <w:pPr>
              <w:snapToGrid w:val="0"/>
              <w:jc w:val="center"/>
              <w:outlineLvl w:val="0"/>
              <w:rPr>
                <w:rFonts w:ascii="宋体" w:hAnsi="宋体"/>
                <w:kern w:val="0"/>
                <w:szCs w:val="21"/>
              </w:rPr>
            </w:pPr>
            <w:r>
              <w:rPr>
                <w:rFonts w:ascii="宋体" w:hAnsi="宋体" w:hint="eastAsia"/>
                <w:kern w:val="0"/>
                <w:szCs w:val="21"/>
              </w:rPr>
              <w:t>●</w:t>
            </w:r>
          </w:p>
        </w:tc>
        <w:tc>
          <w:tcPr>
            <w:tcW w:w="2209" w:type="dxa"/>
          </w:tcPr>
          <w:p w:rsidR="001B259B" w:rsidRDefault="00C0397A">
            <w:pPr>
              <w:snapToGrid w:val="0"/>
              <w:jc w:val="center"/>
              <w:outlineLvl w:val="0"/>
              <w:rPr>
                <w:rFonts w:ascii="宋体" w:hAnsi="宋体"/>
                <w:kern w:val="0"/>
                <w:szCs w:val="21"/>
              </w:rPr>
            </w:pPr>
            <w:r>
              <w:rPr>
                <w:rFonts w:ascii="宋体" w:hAnsi="宋体" w:hint="eastAsia"/>
                <w:kern w:val="0"/>
                <w:szCs w:val="21"/>
              </w:rPr>
              <w:t>●</w:t>
            </w:r>
          </w:p>
        </w:tc>
      </w:tr>
    </w:tbl>
    <w:p w:rsidR="001B259B" w:rsidRDefault="00C0397A">
      <w:pPr>
        <w:snapToGrid w:val="0"/>
        <w:outlineLvl w:val="0"/>
        <w:rPr>
          <w:rFonts w:ascii="宋体" w:hAnsi="宋体"/>
          <w:kern w:val="0"/>
          <w:sz w:val="18"/>
          <w:szCs w:val="18"/>
        </w:rPr>
      </w:pPr>
      <w:r>
        <w:rPr>
          <w:rFonts w:ascii="宋体" w:hAnsi="宋体" w:hint="eastAsia"/>
          <w:kern w:val="0"/>
          <w:sz w:val="18"/>
          <w:szCs w:val="18"/>
        </w:rPr>
        <w:t>其中●代表取样。</w:t>
      </w:r>
    </w:p>
    <w:p w:rsidR="001B259B" w:rsidRDefault="00C0397A">
      <w:pPr>
        <w:spacing w:line="440" w:lineRule="exact"/>
        <w:ind w:firstLineChars="200" w:firstLine="360"/>
        <w:rPr>
          <w:rFonts w:ascii="宋体" w:hAnsi="宋体" w:cs="Sim Sun"/>
          <w:kern w:val="0"/>
          <w:szCs w:val="21"/>
        </w:rPr>
      </w:pPr>
      <w:r>
        <w:rPr>
          <w:rFonts w:ascii="宋体" w:hAnsi="宋体" w:hint="eastAsia"/>
          <w:kern w:val="0"/>
          <w:sz w:val="18"/>
          <w:szCs w:val="18"/>
        </w:rPr>
        <w:t>注：在本实施细则的规定中，检验机构在检验过程中对检验结果进行复验所采用的样品，应是抽取的检验样品，不能采用备用样品。备用样品仅是指受检单位或者经过确认了样品的生产企业对检验结果提出异议，需要对不合格项目进行复检时，采用的备用样品。</w:t>
      </w:r>
    </w:p>
    <w:p w:rsidR="001B259B" w:rsidRDefault="00C0397A">
      <w:pPr>
        <w:snapToGrid w:val="0"/>
        <w:spacing w:line="440" w:lineRule="exact"/>
        <w:rPr>
          <w:szCs w:val="21"/>
        </w:rPr>
      </w:pPr>
      <w:r>
        <w:rPr>
          <w:rFonts w:ascii="宋体" w:hAnsi="宋体" w:hint="eastAsia"/>
          <w:szCs w:val="21"/>
        </w:rPr>
        <w:t xml:space="preserve">5.2.4 </w:t>
      </w:r>
      <w:r>
        <w:rPr>
          <w:rFonts w:hint="eastAsia"/>
          <w:szCs w:val="21"/>
        </w:rPr>
        <w:t>注意事项</w:t>
      </w:r>
    </w:p>
    <w:p w:rsidR="001B259B" w:rsidRDefault="00087921">
      <w:pPr>
        <w:autoSpaceDE w:val="0"/>
        <w:autoSpaceDN w:val="0"/>
        <w:adjustRightInd w:val="0"/>
        <w:spacing w:line="440" w:lineRule="exact"/>
        <w:ind w:firstLineChars="250" w:firstLine="525"/>
        <w:jc w:val="left"/>
        <w:rPr>
          <w:rFonts w:ascii="宋体" w:hAnsi="宋体" w:cs="楷体_GB2312"/>
          <w:bCs/>
          <w:kern w:val="0"/>
          <w:szCs w:val="21"/>
          <w:lang w:val="zh-CN"/>
        </w:rPr>
      </w:pPr>
      <w:r>
        <w:rPr>
          <w:rFonts w:ascii="宋体" w:hAnsi="宋体" w:hint="eastAsia"/>
          <w:color w:val="000000"/>
          <w:szCs w:val="21"/>
        </w:rPr>
        <w:t>抽样人员</w:t>
      </w:r>
      <w:r w:rsidRPr="008966A4">
        <w:rPr>
          <w:rFonts w:ascii="宋体" w:hAnsi="宋体" w:hint="eastAsia"/>
          <w:color w:val="000000"/>
          <w:szCs w:val="21"/>
        </w:rPr>
        <w:t>在流通领域拍取的照片应能够反映出样品的名称和牌号、加油机编号（或位置）、加油枪编号、加贴封条完好的全貌等信息内容；在生产领域拍取的照片应能够反映出样品的名称和牌号、油罐编号、加贴封条完好的全貌等信息内容。</w:t>
      </w:r>
      <w:r>
        <w:rPr>
          <w:rFonts w:ascii="宋体" w:hAnsi="宋体" w:hint="eastAsia"/>
          <w:color w:val="000000"/>
          <w:szCs w:val="21"/>
        </w:rPr>
        <w:t>在样品加贴封条后，应</w:t>
      </w:r>
      <w:r w:rsidRPr="008966A4">
        <w:rPr>
          <w:rFonts w:ascii="宋体" w:hAnsi="宋体" w:hint="eastAsia"/>
          <w:color w:val="000000"/>
          <w:szCs w:val="21"/>
        </w:rPr>
        <w:t>对检验样品和备用样品进行拍照</w:t>
      </w:r>
      <w:r>
        <w:rPr>
          <w:rFonts w:ascii="宋体" w:hAnsi="宋体" w:hint="eastAsia"/>
          <w:color w:val="000000"/>
          <w:szCs w:val="21"/>
        </w:rPr>
        <w:t>。</w:t>
      </w:r>
    </w:p>
    <w:p w:rsidR="001B259B" w:rsidRDefault="00C0397A">
      <w:pPr>
        <w:snapToGrid w:val="0"/>
        <w:spacing w:line="440" w:lineRule="exact"/>
        <w:rPr>
          <w:szCs w:val="21"/>
        </w:rPr>
      </w:pPr>
      <w:r>
        <w:rPr>
          <w:rFonts w:ascii="宋体" w:hAnsi="宋体" w:hint="eastAsia"/>
          <w:szCs w:val="21"/>
        </w:rPr>
        <w:t>5.3 样</w:t>
      </w:r>
      <w:r>
        <w:rPr>
          <w:rFonts w:hint="eastAsia"/>
          <w:szCs w:val="21"/>
        </w:rPr>
        <w:t>品处置</w:t>
      </w:r>
    </w:p>
    <w:p w:rsidR="001B259B" w:rsidRDefault="00C0397A">
      <w:pPr>
        <w:snapToGrid w:val="0"/>
        <w:spacing w:line="440" w:lineRule="exact"/>
        <w:rPr>
          <w:rFonts w:ascii="宋体" w:hAnsi="宋体"/>
          <w:szCs w:val="21"/>
        </w:rPr>
      </w:pPr>
      <w:r>
        <w:rPr>
          <w:rFonts w:ascii="宋体" w:hAnsi="宋体" w:hint="eastAsia"/>
          <w:szCs w:val="21"/>
        </w:rPr>
        <w:t>5</w:t>
      </w:r>
      <w:r>
        <w:rPr>
          <w:rFonts w:ascii="宋体" w:hAnsi="宋体"/>
          <w:szCs w:val="21"/>
        </w:rPr>
        <w:t xml:space="preserve">.3.1 </w:t>
      </w:r>
      <w:r>
        <w:rPr>
          <w:rFonts w:ascii="宋体" w:hAnsi="宋体" w:hint="eastAsia"/>
          <w:szCs w:val="21"/>
        </w:rPr>
        <w:t>对抽取的样品，在封条上分别注明“检验样品”与“备用样品”，并由抽样人员和受检单位代表签字确认，当场对样品的桶口或瓶口密封，为保证样品的真实性，要有相应的防拆封措施，并保证封条在运输过程中不会破损。封条上至少要有产品名称和牌号、抽样日期、抽样人签字、受检单位代表签字和盖章以及抽样单位公章等相关信息。</w:t>
      </w:r>
    </w:p>
    <w:p w:rsidR="009C4295" w:rsidRPr="009C4295" w:rsidRDefault="00C0397A" w:rsidP="009C4295">
      <w:pPr>
        <w:snapToGrid w:val="0"/>
        <w:spacing w:line="360" w:lineRule="auto"/>
        <w:rPr>
          <w:rFonts w:ascii="宋体" w:hAnsi="宋体"/>
          <w:szCs w:val="21"/>
        </w:rPr>
      </w:pPr>
      <w:r>
        <w:rPr>
          <w:rFonts w:ascii="宋体" w:hAnsi="宋体" w:hint="eastAsia"/>
          <w:szCs w:val="21"/>
        </w:rPr>
        <w:t>5.3.2抽取的样品按运输条件包装好，</w:t>
      </w:r>
      <w:r w:rsidR="009C4295" w:rsidRPr="009C4295">
        <w:rPr>
          <w:rFonts w:ascii="宋体" w:hAnsi="宋体" w:hint="eastAsia"/>
          <w:szCs w:val="21"/>
        </w:rPr>
        <w:t>检样</w:t>
      </w:r>
      <w:r w:rsidR="00A4490D">
        <w:rPr>
          <w:rFonts w:ascii="宋体" w:hAnsi="宋体" w:hint="eastAsia"/>
          <w:szCs w:val="21"/>
        </w:rPr>
        <w:t>和备样</w:t>
      </w:r>
      <w:r w:rsidR="009C4295" w:rsidRPr="009C4295">
        <w:rPr>
          <w:rFonts w:ascii="宋体" w:hAnsi="宋体" w:hint="eastAsia"/>
          <w:szCs w:val="21"/>
        </w:rPr>
        <w:t>由抽样人员携带或者寄递检验机构</w:t>
      </w:r>
      <w:r w:rsidR="00A4490D">
        <w:rPr>
          <w:rFonts w:ascii="宋体" w:hAnsi="宋体" w:hint="eastAsia"/>
          <w:szCs w:val="21"/>
        </w:rPr>
        <w:t>，</w:t>
      </w:r>
      <w:r w:rsidR="009C4295" w:rsidRPr="009C4295">
        <w:rPr>
          <w:rFonts w:ascii="宋体" w:hAnsi="宋体" w:hint="eastAsia"/>
          <w:szCs w:val="21"/>
        </w:rPr>
        <w:t>应当妥善保管封存的样品，不得隐匿、转移、变卖、损毁。</w:t>
      </w:r>
    </w:p>
    <w:p w:rsidR="009C4295" w:rsidRDefault="009C4295" w:rsidP="009C4295">
      <w:pPr>
        <w:snapToGrid w:val="0"/>
        <w:spacing w:line="360" w:lineRule="auto"/>
        <w:rPr>
          <w:rFonts w:ascii="宋体" w:hAnsi="宋体"/>
          <w:color w:val="000000"/>
          <w:szCs w:val="21"/>
        </w:rPr>
      </w:pPr>
      <w:r>
        <w:rPr>
          <w:rFonts w:ascii="宋体" w:hAnsi="宋体" w:hint="eastAsia"/>
          <w:color w:val="000000"/>
          <w:szCs w:val="21"/>
        </w:rPr>
        <w:t>5.3.3抽取的样品按运输条件进行包装，以保证在运送和保存时不受重压、潮湿、雨淋、暴晒或与油及酸、碱等腐蚀性物质接触。</w:t>
      </w:r>
    </w:p>
    <w:p w:rsidR="001B259B" w:rsidRDefault="00C0397A">
      <w:pPr>
        <w:snapToGrid w:val="0"/>
        <w:spacing w:line="440" w:lineRule="exact"/>
        <w:rPr>
          <w:rFonts w:ascii="宋体" w:hAnsi="宋体"/>
          <w:szCs w:val="21"/>
        </w:rPr>
      </w:pPr>
      <w:r>
        <w:rPr>
          <w:rFonts w:ascii="宋体" w:hAnsi="宋体" w:hint="eastAsia"/>
          <w:szCs w:val="21"/>
        </w:rPr>
        <w:t>5.4 抽样单</w:t>
      </w:r>
    </w:p>
    <w:p w:rsidR="001B259B" w:rsidRDefault="00C0397A">
      <w:pPr>
        <w:pStyle w:val="a9"/>
        <w:spacing w:line="440" w:lineRule="exact"/>
        <w:ind w:firstLineChars="0" w:firstLine="0"/>
        <w:rPr>
          <w:rFonts w:hAnsi="宋体"/>
          <w:szCs w:val="21"/>
        </w:rPr>
      </w:pPr>
      <w:r>
        <w:rPr>
          <w:rFonts w:hint="eastAsia"/>
        </w:rPr>
        <w:t>5.4.1生产领域</w:t>
      </w:r>
    </w:p>
    <w:p w:rsidR="001B259B" w:rsidRDefault="00C0397A" w:rsidP="004D32B7">
      <w:pPr>
        <w:snapToGrid w:val="0"/>
        <w:spacing w:line="440" w:lineRule="exact"/>
        <w:ind w:firstLineChars="199" w:firstLine="418"/>
        <w:rPr>
          <w:rFonts w:ascii="宋体" w:hAnsi="宋体"/>
          <w:szCs w:val="21"/>
        </w:rPr>
      </w:pPr>
      <w:r>
        <w:rPr>
          <w:rFonts w:ascii="宋体" w:hAnsi="宋体" w:hint="eastAsia"/>
          <w:szCs w:val="21"/>
        </w:rPr>
        <w:t>应按有关规定填写抽样单，并记录被抽查产品及企业相关信息。对于产品检验所需的样品技术参数等信息，需要被抽企业提供的，应在抽样现场获取，并经企业确认。</w:t>
      </w:r>
      <w:r>
        <w:rPr>
          <w:rFonts w:ascii="宋体" w:hAnsi="宋体" w:cs="仿宋_GB2312" w:hint="eastAsia"/>
        </w:rPr>
        <w:t>抽样单需有抽样人及受检单位代表双方签字，</w:t>
      </w:r>
      <w:r>
        <w:rPr>
          <w:rFonts w:ascii="宋体" w:hAnsi="宋体" w:hint="eastAsia"/>
          <w:szCs w:val="21"/>
        </w:rPr>
        <w:t>并加盖受检单位公章。对特殊情况，双方签字盖手印确认即可。</w:t>
      </w:r>
    </w:p>
    <w:p w:rsidR="001B259B" w:rsidRDefault="00C0397A">
      <w:pPr>
        <w:pStyle w:val="a9"/>
        <w:spacing w:line="440" w:lineRule="exact"/>
        <w:ind w:firstLineChars="0" w:firstLine="0"/>
        <w:rPr>
          <w:rFonts w:hAnsi="宋体"/>
          <w:szCs w:val="21"/>
        </w:rPr>
      </w:pPr>
      <w:r>
        <w:rPr>
          <w:rFonts w:hint="eastAsia"/>
        </w:rPr>
        <w:t>5.4.2流通领域</w:t>
      </w:r>
    </w:p>
    <w:p w:rsidR="001B259B" w:rsidRDefault="00C0397A">
      <w:pPr>
        <w:snapToGrid w:val="0"/>
        <w:spacing w:line="440" w:lineRule="exact"/>
        <w:ind w:firstLineChars="200" w:firstLine="420"/>
      </w:pPr>
      <w:r>
        <w:rPr>
          <w:rFonts w:hint="eastAsia"/>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企业确认。</w:t>
      </w:r>
    </w:p>
    <w:p w:rsidR="00087921" w:rsidRDefault="00087921">
      <w:pPr>
        <w:snapToGrid w:val="0"/>
        <w:spacing w:line="440" w:lineRule="exact"/>
        <w:rPr>
          <w:rFonts w:ascii="黑体" w:eastAsia="黑体" w:hAnsi="宋体"/>
          <w:szCs w:val="21"/>
        </w:rPr>
      </w:pPr>
    </w:p>
    <w:p w:rsidR="001B259B" w:rsidRDefault="00C0397A">
      <w:pPr>
        <w:snapToGrid w:val="0"/>
        <w:spacing w:line="440" w:lineRule="exact"/>
        <w:rPr>
          <w:rFonts w:ascii="黑体" w:eastAsia="黑体" w:hAnsi="宋体"/>
          <w:szCs w:val="21"/>
        </w:rPr>
      </w:pPr>
      <w:r>
        <w:rPr>
          <w:rFonts w:ascii="黑体" w:eastAsia="黑体" w:hAnsi="宋体" w:hint="eastAsia"/>
          <w:szCs w:val="21"/>
        </w:rPr>
        <w:t>6 检验要求</w:t>
      </w:r>
    </w:p>
    <w:p w:rsidR="001B259B" w:rsidRDefault="00C0397A">
      <w:pPr>
        <w:snapToGrid w:val="0"/>
        <w:spacing w:line="440" w:lineRule="exact"/>
        <w:rPr>
          <w:rFonts w:ascii="宋体" w:hAnsi="宋体"/>
          <w:szCs w:val="21"/>
        </w:rPr>
      </w:pPr>
      <w:r>
        <w:rPr>
          <w:rFonts w:ascii="宋体" w:hAnsi="宋体" w:hint="eastAsia"/>
          <w:szCs w:val="21"/>
        </w:rPr>
        <w:t>6.1 检验项目</w:t>
      </w:r>
    </w:p>
    <w:p w:rsidR="001B259B" w:rsidRDefault="00BF4894">
      <w:pPr>
        <w:tabs>
          <w:tab w:val="left" w:pos="1320"/>
        </w:tabs>
        <w:snapToGrid w:val="0"/>
        <w:spacing w:line="440" w:lineRule="exact"/>
        <w:ind w:firstLineChars="200" w:firstLine="420"/>
        <w:jc w:val="left"/>
        <w:rPr>
          <w:rFonts w:ascii="宋体" w:hAnsi="宋体"/>
          <w:szCs w:val="21"/>
        </w:rPr>
      </w:pPr>
      <w:r>
        <w:rPr>
          <w:rFonts w:ascii="宋体" w:hAnsi="宋体" w:hint="eastAsia"/>
          <w:szCs w:val="21"/>
        </w:rPr>
        <w:t>柴油</w:t>
      </w:r>
      <w:r w:rsidR="002B4E0A">
        <w:rPr>
          <w:rFonts w:ascii="宋体" w:hAnsi="宋体" w:hint="eastAsia"/>
          <w:szCs w:val="21"/>
        </w:rPr>
        <w:t>检验项目见表</w:t>
      </w:r>
      <w:r>
        <w:rPr>
          <w:rFonts w:ascii="宋体" w:hAnsi="宋体" w:hint="eastAsia"/>
          <w:szCs w:val="21"/>
        </w:rPr>
        <w:t>2</w:t>
      </w:r>
    </w:p>
    <w:p w:rsidR="002B4E0A" w:rsidRDefault="002B4E0A" w:rsidP="002B4E0A">
      <w:pPr>
        <w:tabs>
          <w:tab w:val="left" w:pos="1320"/>
        </w:tabs>
        <w:snapToGrid w:val="0"/>
        <w:spacing w:line="440" w:lineRule="exact"/>
        <w:jc w:val="center"/>
        <w:rPr>
          <w:rFonts w:ascii="宋体" w:hAnsi="宋体"/>
          <w:szCs w:val="21"/>
        </w:rPr>
      </w:pPr>
      <w:r>
        <w:rPr>
          <w:rFonts w:ascii="宋体" w:hAnsi="宋体" w:hint="eastAsia"/>
          <w:szCs w:val="21"/>
        </w:rPr>
        <w:t>表</w:t>
      </w:r>
      <w:r w:rsidR="00BF4894">
        <w:rPr>
          <w:rFonts w:ascii="宋体" w:hAnsi="宋体" w:hint="eastAsia"/>
          <w:szCs w:val="21"/>
        </w:rPr>
        <w:t>2</w:t>
      </w:r>
      <w:r>
        <w:rPr>
          <w:rFonts w:ascii="宋体" w:hAnsi="宋体" w:hint="eastAsia"/>
          <w:szCs w:val="21"/>
        </w:rPr>
        <w:t xml:space="preserve"> </w:t>
      </w:r>
      <w:r w:rsidR="00BF4894">
        <w:rPr>
          <w:rFonts w:ascii="宋体" w:hAnsi="宋体" w:hint="eastAsia"/>
          <w:szCs w:val="21"/>
        </w:rPr>
        <w:t>柴油</w:t>
      </w:r>
      <w:r w:rsidR="00D34C2A">
        <w:rPr>
          <w:rFonts w:ascii="宋体" w:hAnsi="宋体" w:hint="eastAsia"/>
          <w:szCs w:val="21"/>
        </w:rPr>
        <w:t>的</w:t>
      </w:r>
      <w:r>
        <w:rPr>
          <w:rFonts w:ascii="宋体" w:hAnsi="宋体" w:hint="eastAsia"/>
          <w:szCs w:val="21"/>
        </w:rPr>
        <w:t>检验项目</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681"/>
        <w:gridCol w:w="2103"/>
        <w:gridCol w:w="2260"/>
        <w:gridCol w:w="2167"/>
      </w:tblGrid>
      <w:tr w:rsidR="002B4E0A" w:rsidTr="00D94616">
        <w:trPr>
          <w:cantSplit/>
          <w:trHeight w:val="272"/>
          <w:tblHeader/>
          <w:jc w:val="center"/>
        </w:trPr>
        <w:tc>
          <w:tcPr>
            <w:tcW w:w="681" w:type="dxa"/>
            <w:vMerge w:val="restart"/>
            <w:vAlign w:val="center"/>
          </w:tcPr>
          <w:p w:rsidR="002B4E0A" w:rsidRDefault="002B4E0A" w:rsidP="00D94616">
            <w:pPr>
              <w:snapToGrid w:val="0"/>
              <w:jc w:val="center"/>
              <w:rPr>
                <w:rFonts w:ascii="宋体" w:hAnsi="宋体"/>
                <w:szCs w:val="21"/>
              </w:rPr>
            </w:pPr>
            <w:r>
              <w:rPr>
                <w:rFonts w:ascii="宋体" w:hAnsi="宋体" w:hint="eastAsia"/>
                <w:szCs w:val="21"/>
              </w:rPr>
              <w:t>序号</w:t>
            </w:r>
          </w:p>
        </w:tc>
        <w:tc>
          <w:tcPr>
            <w:tcW w:w="2103" w:type="dxa"/>
            <w:vMerge w:val="restart"/>
            <w:vAlign w:val="center"/>
          </w:tcPr>
          <w:p w:rsidR="002B4E0A" w:rsidRDefault="002B4E0A" w:rsidP="00D94616">
            <w:pPr>
              <w:spacing w:line="360" w:lineRule="auto"/>
              <w:jc w:val="center"/>
              <w:rPr>
                <w:rFonts w:ascii="宋体" w:hAnsi="宋体" w:cs="宋体"/>
                <w:sz w:val="18"/>
                <w:szCs w:val="18"/>
              </w:rPr>
            </w:pPr>
            <w:r>
              <w:rPr>
                <w:rFonts w:ascii="宋体" w:hAnsi="宋体" w:cs="宋体" w:hint="eastAsia"/>
                <w:sz w:val="18"/>
                <w:szCs w:val="18"/>
              </w:rPr>
              <w:t>检验项目</w:t>
            </w:r>
          </w:p>
        </w:tc>
        <w:tc>
          <w:tcPr>
            <w:tcW w:w="2260" w:type="dxa"/>
            <w:vMerge w:val="restart"/>
            <w:vAlign w:val="center"/>
          </w:tcPr>
          <w:p w:rsidR="002B4E0A" w:rsidRDefault="002B4E0A" w:rsidP="00D94616">
            <w:pPr>
              <w:spacing w:line="360" w:lineRule="auto"/>
              <w:jc w:val="center"/>
              <w:rPr>
                <w:rFonts w:ascii="宋体" w:hAnsi="宋体" w:cs="宋体"/>
                <w:sz w:val="18"/>
                <w:szCs w:val="18"/>
              </w:rPr>
            </w:pPr>
            <w:r>
              <w:rPr>
                <w:rFonts w:ascii="宋体" w:hAnsi="宋体" w:cs="宋体" w:hint="eastAsia"/>
                <w:sz w:val="18"/>
                <w:szCs w:val="18"/>
              </w:rPr>
              <w:t>依据标准</w:t>
            </w:r>
          </w:p>
        </w:tc>
        <w:tc>
          <w:tcPr>
            <w:tcW w:w="2167" w:type="dxa"/>
            <w:vMerge w:val="restart"/>
            <w:vAlign w:val="center"/>
          </w:tcPr>
          <w:p w:rsidR="002B4E0A" w:rsidRDefault="002B4E0A" w:rsidP="00D94616">
            <w:pPr>
              <w:adjustRightInd w:val="0"/>
              <w:spacing w:line="360" w:lineRule="auto"/>
              <w:jc w:val="center"/>
              <w:rPr>
                <w:rFonts w:ascii="宋体" w:hAnsi="宋体" w:cs="宋体"/>
                <w:sz w:val="18"/>
                <w:szCs w:val="18"/>
              </w:rPr>
            </w:pPr>
            <w:r>
              <w:rPr>
                <w:rFonts w:ascii="宋体" w:hAnsi="宋体" w:cs="宋体" w:hint="eastAsia"/>
                <w:sz w:val="18"/>
                <w:szCs w:val="18"/>
              </w:rPr>
              <w:t>检测方法</w:t>
            </w:r>
          </w:p>
        </w:tc>
      </w:tr>
      <w:tr w:rsidR="002B4E0A" w:rsidTr="00D94616">
        <w:trPr>
          <w:cantSplit/>
          <w:trHeight w:val="272"/>
          <w:tblHeader/>
          <w:jc w:val="center"/>
        </w:trPr>
        <w:tc>
          <w:tcPr>
            <w:tcW w:w="681" w:type="dxa"/>
            <w:vMerge/>
            <w:vAlign w:val="center"/>
          </w:tcPr>
          <w:p w:rsidR="002B4E0A" w:rsidRDefault="002B4E0A" w:rsidP="00D94616">
            <w:pPr>
              <w:snapToGrid w:val="0"/>
              <w:jc w:val="center"/>
              <w:rPr>
                <w:rFonts w:ascii="宋体" w:hAnsi="宋体"/>
                <w:szCs w:val="21"/>
              </w:rPr>
            </w:pPr>
          </w:p>
        </w:tc>
        <w:tc>
          <w:tcPr>
            <w:tcW w:w="2103" w:type="dxa"/>
            <w:vMerge/>
            <w:vAlign w:val="center"/>
          </w:tcPr>
          <w:p w:rsidR="002B4E0A" w:rsidRDefault="002B4E0A" w:rsidP="00D94616">
            <w:pPr>
              <w:snapToGrid w:val="0"/>
              <w:jc w:val="center"/>
              <w:rPr>
                <w:rFonts w:ascii="宋体" w:hAnsi="宋体"/>
                <w:szCs w:val="21"/>
              </w:rPr>
            </w:pPr>
          </w:p>
        </w:tc>
        <w:tc>
          <w:tcPr>
            <w:tcW w:w="2260" w:type="dxa"/>
            <w:vMerge/>
            <w:vAlign w:val="center"/>
          </w:tcPr>
          <w:p w:rsidR="002B4E0A" w:rsidRDefault="002B4E0A" w:rsidP="00D94616">
            <w:pPr>
              <w:snapToGrid w:val="0"/>
              <w:jc w:val="center"/>
              <w:rPr>
                <w:rFonts w:ascii="宋体" w:hAnsi="宋体"/>
                <w:szCs w:val="21"/>
              </w:rPr>
            </w:pPr>
          </w:p>
        </w:tc>
        <w:tc>
          <w:tcPr>
            <w:tcW w:w="2167" w:type="dxa"/>
            <w:vMerge/>
            <w:vAlign w:val="center"/>
          </w:tcPr>
          <w:p w:rsidR="002B4E0A" w:rsidRDefault="002B4E0A" w:rsidP="00D94616">
            <w:pPr>
              <w:snapToGrid w:val="0"/>
              <w:jc w:val="center"/>
              <w:rPr>
                <w:rFonts w:ascii="宋体" w:hAnsi="宋体"/>
                <w:szCs w:val="21"/>
              </w:rPr>
            </w:pPr>
          </w:p>
        </w:tc>
      </w:tr>
      <w:tr w:rsidR="002B4E0A" w:rsidTr="003950B8">
        <w:trPr>
          <w:cantSplit/>
          <w:trHeight w:val="656"/>
          <w:jc w:val="center"/>
        </w:trPr>
        <w:tc>
          <w:tcPr>
            <w:tcW w:w="681" w:type="dxa"/>
            <w:vAlign w:val="center"/>
          </w:tcPr>
          <w:p w:rsidR="002B4E0A" w:rsidRDefault="002B4E0A" w:rsidP="00D94616">
            <w:pPr>
              <w:snapToGrid w:val="0"/>
              <w:jc w:val="center"/>
              <w:rPr>
                <w:rFonts w:ascii="宋体" w:hAnsi="宋体"/>
                <w:szCs w:val="21"/>
              </w:rPr>
            </w:pPr>
            <w:r>
              <w:rPr>
                <w:rFonts w:ascii="宋体" w:hAnsi="宋体" w:hint="eastAsia"/>
                <w:szCs w:val="21"/>
              </w:rPr>
              <w:t>1</w:t>
            </w:r>
          </w:p>
        </w:tc>
        <w:tc>
          <w:tcPr>
            <w:tcW w:w="2103" w:type="dxa"/>
            <w:vAlign w:val="center"/>
          </w:tcPr>
          <w:p w:rsidR="002B4E0A" w:rsidRDefault="002B4E0A" w:rsidP="00D94616">
            <w:pPr>
              <w:snapToGrid w:val="0"/>
              <w:jc w:val="center"/>
              <w:rPr>
                <w:rFonts w:ascii="宋体" w:hAnsi="宋体"/>
                <w:szCs w:val="21"/>
              </w:rPr>
            </w:pPr>
            <w:r>
              <w:rPr>
                <w:rFonts w:ascii="宋体" w:hAnsi="宋体" w:hint="eastAsia"/>
                <w:szCs w:val="21"/>
              </w:rPr>
              <w:t>硫含量</w:t>
            </w:r>
          </w:p>
        </w:tc>
        <w:tc>
          <w:tcPr>
            <w:tcW w:w="2260" w:type="dxa"/>
            <w:vMerge w:val="restart"/>
            <w:vAlign w:val="center"/>
          </w:tcPr>
          <w:p w:rsidR="002B4E0A" w:rsidRDefault="002B4E0A" w:rsidP="00D94616">
            <w:pPr>
              <w:tabs>
                <w:tab w:val="left" w:pos="2002"/>
              </w:tabs>
              <w:snapToGrid w:val="0"/>
              <w:jc w:val="center"/>
              <w:rPr>
                <w:rFonts w:ascii="宋体" w:hAnsi="宋体"/>
                <w:szCs w:val="21"/>
              </w:rPr>
            </w:pPr>
            <w:r>
              <w:rPr>
                <w:rFonts w:ascii="宋体" w:hAnsi="宋体" w:hint="eastAsia"/>
                <w:szCs w:val="21"/>
              </w:rPr>
              <w:t>GB 19147</w:t>
            </w:r>
          </w:p>
        </w:tc>
        <w:tc>
          <w:tcPr>
            <w:tcW w:w="2167" w:type="dxa"/>
            <w:vAlign w:val="center"/>
          </w:tcPr>
          <w:p w:rsidR="002B4E0A" w:rsidRDefault="002B4E0A" w:rsidP="003950B8">
            <w:pPr>
              <w:snapToGrid w:val="0"/>
              <w:jc w:val="center"/>
              <w:rPr>
                <w:rFonts w:ascii="宋体" w:hAnsi="宋体"/>
                <w:szCs w:val="21"/>
              </w:rPr>
            </w:pPr>
            <w:r>
              <w:rPr>
                <w:rFonts w:ascii="宋体" w:hAnsi="宋体" w:hint="eastAsia"/>
                <w:szCs w:val="21"/>
              </w:rPr>
              <w:t>SH/T 0689</w:t>
            </w:r>
          </w:p>
        </w:tc>
      </w:tr>
      <w:tr w:rsidR="003950B8" w:rsidTr="003950B8">
        <w:trPr>
          <w:cantSplit/>
          <w:trHeight w:val="410"/>
          <w:jc w:val="center"/>
        </w:trPr>
        <w:tc>
          <w:tcPr>
            <w:tcW w:w="681" w:type="dxa"/>
            <w:vAlign w:val="center"/>
          </w:tcPr>
          <w:p w:rsidR="003950B8" w:rsidRDefault="003950B8" w:rsidP="00D94616">
            <w:pPr>
              <w:snapToGrid w:val="0"/>
              <w:jc w:val="center"/>
              <w:rPr>
                <w:rFonts w:ascii="宋体" w:hAnsi="宋体"/>
                <w:szCs w:val="21"/>
              </w:rPr>
            </w:pPr>
            <w:r>
              <w:rPr>
                <w:rFonts w:ascii="宋体" w:hAnsi="宋体" w:hint="eastAsia"/>
                <w:szCs w:val="21"/>
              </w:rPr>
              <w:t>2</w:t>
            </w:r>
          </w:p>
        </w:tc>
        <w:tc>
          <w:tcPr>
            <w:tcW w:w="2103" w:type="dxa"/>
            <w:vAlign w:val="center"/>
          </w:tcPr>
          <w:p w:rsidR="003950B8" w:rsidRDefault="003950B8" w:rsidP="00D94616">
            <w:pPr>
              <w:snapToGrid w:val="0"/>
              <w:jc w:val="center"/>
              <w:rPr>
                <w:rFonts w:ascii="宋体" w:hAnsi="宋体"/>
                <w:szCs w:val="21"/>
              </w:rPr>
            </w:pPr>
            <w:r>
              <w:rPr>
                <w:rFonts w:ascii="宋体" w:hAnsi="宋体" w:hint="eastAsia"/>
                <w:szCs w:val="21"/>
              </w:rPr>
              <w:t>闪点（闭口）</w:t>
            </w:r>
          </w:p>
        </w:tc>
        <w:tc>
          <w:tcPr>
            <w:tcW w:w="2260" w:type="dxa"/>
            <w:vMerge/>
            <w:vAlign w:val="center"/>
          </w:tcPr>
          <w:p w:rsidR="003950B8" w:rsidRDefault="003950B8" w:rsidP="00D94616">
            <w:pPr>
              <w:tabs>
                <w:tab w:val="left" w:pos="2002"/>
              </w:tabs>
              <w:snapToGrid w:val="0"/>
              <w:jc w:val="center"/>
              <w:rPr>
                <w:rFonts w:ascii="宋体" w:hAnsi="宋体" w:cs="宋体"/>
                <w:szCs w:val="21"/>
              </w:rPr>
            </w:pPr>
          </w:p>
        </w:tc>
        <w:tc>
          <w:tcPr>
            <w:tcW w:w="2167" w:type="dxa"/>
            <w:vAlign w:val="center"/>
          </w:tcPr>
          <w:p w:rsidR="003950B8" w:rsidRDefault="003950B8" w:rsidP="00D94616">
            <w:pPr>
              <w:snapToGrid w:val="0"/>
              <w:jc w:val="center"/>
              <w:rPr>
                <w:rFonts w:ascii="宋体" w:hAnsi="宋体"/>
                <w:szCs w:val="21"/>
              </w:rPr>
            </w:pPr>
            <w:r>
              <w:rPr>
                <w:rFonts w:ascii="宋体" w:hAnsi="宋体" w:hint="eastAsia"/>
                <w:szCs w:val="21"/>
              </w:rPr>
              <w:t>GB/T 261</w:t>
            </w:r>
          </w:p>
        </w:tc>
      </w:tr>
      <w:tr w:rsidR="003950B8" w:rsidTr="003950B8">
        <w:trPr>
          <w:cantSplit/>
          <w:trHeight w:val="544"/>
          <w:jc w:val="center"/>
        </w:trPr>
        <w:tc>
          <w:tcPr>
            <w:tcW w:w="681" w:type="dxa"/>
            <w:vAlign w:val="center"/>
          </w:tcPr>
          <w:p w:rsidR="003950B8" w:rsidRDefault="003950B8" w:rsidP="00D94616">
            <w:pPr>
              <w:snapToGrid w:val="0"/>
              <w:jc w:val="center"/>
              <w:rPr>
                <w:rFonts w:ascii="宋体" w:hAnsi="宋体"/>
                <w:szCs w:val="21"/>
              </w:rPr>
            </w:pPr>
            <w:r>
              <w:rPr>
                <w:rFonts w:ascii="宋体" w:hAnsi="宋体" w:hint="eastAsia"/>
                <w:szCs w:val="21"/>
              </w:rPr>
              <w:t>3</w:t>
            </w:r>
          </w:p>
        </w:tc>
        <w:tc>
          <w:tcPr>
            <w:tcW w:w="2103" w:type="dxa"/>
            <w:vAlign w:val="center"/>
          </w:tcPr>
          <w:p w:rsidR="003950B8" w:rsidRDefault="003950B8" w:rsidP="00D94616">
            <w:pPr>
              <w:snapToGrid w:val="0"/>
              <w:jc w:val="center"/>
              <w:rPr>
                <w:rFonts w:ascii="宋体" w:hAnsi="宋体"/>
                <w:szCs w:val="21"/>
              </w:rPr>
            </w:pPr>
            <w:r>
              <w:rPr>
                <w:rFonts w:ascii="宋体" w:hAnsi="宋体" w:hint="eastAsia"/>
                <w:szCs w:val="21"/>
              </w:rPr>
              <w:t>十六烷值</w:t>
            </w:r>
          </w:p>
        </w:tc>
        <w:tc>
          <w:tcPr>
            <w:tcW w:w="2260" w:type="dxa"/>
            <w:vMerge/>
            <w:vAlign w:val="center"/>
          </w:tcPr>
          <w:p w:rsidR="003950B8" w:rsidRDefault="003950B8" w:rsidP="00D94616">
            <w:pPr>
              <w:tabs>
                <w:tab w:val="left" w:pos="2002"/>
              </w:tabs>
              <w:snapToGrid w:val="0"/>
              <w:jc w:val="center"/>
              <w:rPr>
                <w:rFonts w:ascii="宋体" w:hAnsi="宋体"/>
                <w:szCs w:val="21"/>
              </w:rPr>
            </w:pPr>
          </w:p>
        </w:tc>
        <w:tc>
          <w:tcPr>
            <w:tcW w:w="2167" w:type="dxa"/>
            <w:vAlign w:val="center"/>
          </w:tcPr>
          <w:p w:rsidR="003950B8" w:rsidRDefault="003950B8" w:rsidP="00D94616">
            <w:pPr>
              <w:snapToGrid w:val="0"/>
              <w:jc w:val="center"/>
              <w:rPr>
                <w:rFonts w:ascii="宋体" w:hAnsi="宋体"/>
                <w:szCs w:val="21"/>
              </w:rPr>
            </w:pPr>
            <w:r>
              <w:rPr>
                <w:rFonts w:ascii="宋体" w:hAnsi="宋体" w:hint="eastAsia"/>
                <w:szCs w:val="21"/>
              </w:rPr>
              <w:t>GB/T 386</w:t>
            </w:r>
          </w:p>
        </w:tc>
      </w:tr>
      <w:tr w:rsidR="003950B8" w:rsidTr="00D94616">
        <w:trPr>
          <w:cantSplit/>
          <w:trHeight w:val="452"/>
          <w:jc w:val="center"/>
        </w:trPr>
        <w:tc>
          <w:tcPr>
            <w:tcW w:w="7211" w:type="dxa"/>
            <w:gridSpan w:val="4"/>
            <w:vAlign w:val="center"/>
          </w:tcPr>
          <w:p w:rsidR="003950B8" w:rsidRDefault="003950B8" w:rsidP="00D94616">
            <w:pPr>
              <w:snapToGrid w:val="0"/>
              <w:jc w:val="center"/>
              <w:rPr>
                <w:rFonts w:ascii="宋体" w:hAnsi="宋体"/>
                <w:szCs w:val="21"/>
              </w:rPr>
            </w:pPr>
            <w:r>
              <w:rPr>
                <w:rFonts w:ascii="宋体" w:hAnsi="宋体" w:hint="eastAsia"/>
                <w:szCs w:val="21"/>
              </w:rPr>
              <w:t>执行企业标准、团体标准、地方标准的产品，检验项目参照上述内容执行。</w:t>
            </w:r>
          </w:p>
        </w:tc>
      </w:tr>
    </w:tbl>
    <w:p w:rsidR="001B259B" w:rsidRDefault="00C0397A">
      <w:pPr>
        <w:pStyle w:val="a9"/>
        <w:spacing w:line="440" w:lineRule="exact"/>
        <w:ind w:firstLineChars="0" w:firstLine="0"/>
        <w:rPr>
          <w:rFonts w:hAnsi="宋体"/>
          <w:szCs w:val="21"/>
        </w:rPr>
      </w:pPr>
      <w:r>
        <w:rPr>
          <w:rFonts w:hAnsi="宋体" w:hint="eastAsia"/>
          <w:szCs w:val="21"/>
        </w:rPr>
        <w:t>6.2 检验应注意的问题</w:t>
      </w:r>
    </w:p>
    <w:p w:rsidR="001B259B" w:rsidRDefault="00C0397A">
      <w:pPr>
        <w:tabs>
          <w:tab w:val="left" w:pos="1320"/>
        </w:tabs>
        <w:snapToGrid w:val="0"/>
        <w:spacing w:line="440" w:lineRule="exact"/>
        <w:rPr>
          <w:rFonts w:ascii="宋体" w:hAnsi="宋体"/>
          <w:szCs w:val="21"/>
        </w:rPr>
      </w:pPr>
      <w:r>
        <w:rPr>
          <w:rFonts w:ascii="宋体" w:hAnsi="宋体" w:hint="eastAsia"/>
          <w:szCs w:val="21"/>
        </w:rPr>
        <w:t>6.2.1应注意闪点（闭口）项目为首个测定项目。</w:t>
      </w:r>
    </w:p>
    <w:p w:rsidR="001B259B" w:rsidRDefault="00C0397A">
      <w:pPr>
        <w:snapToGrid w:val="0"/>
        <w:spacing w:line="440" w:lineRule="exact"/>
        <w:rPr>
          <w:rFonts w:ascii="宋体" w:hAnsi="宋体"/>
          <w:szCs w:val="21"/>
        </w:rPr>
      </w:pPr>
      <w:r>
        <w:rPr>
          <w:rFonts w:ascii="宋体" w:hAnsi="宋体" w:hint="eastAsia"/>
          <w:szCs w:val="21"/>
        </w:rPr>
        <w:t>6.2.2 检验过程中遇到样品失效或其他情况导致检验无法进行时，必须如实记录即时情况，并有充分的证实材料。</w:t>
      </w:r>
    </w:p>
    <w:p w:rsidR="001B259B" w:rsidRDefault="00C0397A">
      <w:pPr>
        <w:tabs>
          <w:tab w:val="left" w:pos="1320"/>
        </w:tabs>
        <w:snapToGrid w:val="0"/>
        <w:spacing w:line="440" w:lineRule="exact"/>
        <w:rPr>
          <w:rFonts w:ascii="宋体" w:hAnsi="宋体"/>
          <w:szCs w:val="21"/>
        </w:rPr>
      </w:pPr>
      <w:r>
        <w:rPr>
          <w:rFonts w:ascii="宋体" w:hAnsi="宋体" w:hint="eastAsia"/>
          <w:szCs w:val="21"/>
        </w:rPr>
        <w:t>6.2.3检验工作完成后，样品应存在阴凉、干燥、避免阳光直射的安全处，避免样品产生光氧化反应，从而影响产品质量。</w:t>
      </w:r>
    </w:p>
    <w:p w:rsidR="001B259B" w:rsidRDefault="001B259B">
      <w:pPr>
        <w:pStyle w:val="a9"/>
        <w:spacing w:line="440" w:lineRule="exact"/>
        <w:ind w:firstLineChars="0" w:firstLine="0"/>
        <w:rPr>
          <w:rFonts w:hAnsi="宋体"/>
          <w:szCs w:val="21"/>
        </w:rPr>
      </w:pPr>
    </w:p>
    <w:p w:rsidR="001B259B" w:rsidRDefault="00C0397A">
      <w:pPr>
        <w:widowControl/>
        <w:spacing w:line="440" w:lineRule="exact"/>
        <w:jc w:val="left"/>
        <w:rPr>
          <w:rFonts w:ascii="黑体" w:eastAsia="黑体" w:hAnsi="黑体"/>
          <w:szCs w:val="21"/>
        </w:rPr>
      </w:pPr>
      <w:r>
        <w:rPr>
          <w:rFonts w:ascii="黑体" w:eastAsia="黑体" w:hAnsi="黑体" w:hint="eastAsia"/>
          <w:szCs w:val="21"/>
        </w:rPr>
        <w:t>7</w:t>
      </w:r>
      <w:r>
        <w:rPr>
          <w:rFonts w:ascii="黑体" w:eastAsia="黑体" w:hAnsi="黑体"/>
          <w:szCs w:val="21"/>
        </w:rPr>
        <w:t xml:space="preserve"> </w:t>
      </w:r>
      <w:r>
        <w:rPr>
          <w:rFonts w:ascii="黑体" w:eastAsia="黑体" w:hAnsi="黑体" w:hint="eastAsia"/>
          <w:szCs w:val="21"/>
        </w:rPr>
        <w:t>判定原则</w:t>
      </w:r>
    </w:p>
    <w:p w:rsidR="001B259B" w:rsidRDefault="00C0397A">
      <w:pPr>
        <w:widowControl/>
        <w:spacing w:line="440" w:lineRule="exact"/>
        <w:ind w:firstLineChars="200" w:firstLine="420"/>
        <w:jc w:val="left"/>
        <w:rPr>
          <w:rFonts w:hAnsi="宋体"/>
          <w:szCs w:val="21"/>
        </w:rPr>
      </w:pPr>
      <w:r>
        <w:rPr>
          <w:rFonts w:hAnsi="宋体" w:hint="eastAsia"/>
          <w:szCs w:val="21"/>
        </w:rPr>
        <w:t>若被检产品明示的质量要求高于本细则中检验项目依据的标准要求时，应按被检产品明示的质量要求判定。</w:t>
      </w:r>
    </w:p>
    <w:p w:rsidR="001B259B" w:rsidRDefault="00C0397A">
      <w:pPr>
        <w:widowControl/>
        <w:spacing w:line="440" w:lineRule="exact"/>
        <w:ind w:firstLineChars="200" w:firstLine="420"/>
        <w:jc w:val="left"/>
        <w:rPr>
          <w:rFonts w:hAnsi="宋体"/>
          <w:szCs w:val="21"/>
        </w:rPr>
      </w:pPr>
      <w:r>
        <w:rPr>
          <w:rFonts w:hAnsi="宋体" w:hint="eastAsia"/>
          <w:szCs w:val="21"/>
        </w:rPr>
        <w:t>若被检产品明示的质量要求低于本细则中检验项目依据的强制性标准要求时，应按照强制性标准要求判定。</w:t>
      </w:r>
    </w:p>
    <w:p w:rsidR="001B259B" w:rsidRDefault="00C0397A">
      <w:pPr>
        <w:widowControl/>
        <w:spacing w:line="440" w:lineRule="exact"/>
        <w:ind w:firstLineChars="200" w:firstLine="420"/>
        <w:jc w:val="left"/>
        <w:rPr>
          <w:rFonts w:hAnsi="宋体"/>
          <w:szCs w:val="21"/>
        </w:rPr>
      </w:pPr>
      <w:r>
        <w:rPr>
          <w:rFonts w:hAnsi="宋体" w:hint="eastAsia"/>
          <w:szCs w:val="21"/>
        </w:rPr>
        <w:t>若被检产品明示的质量要求低于或包含细则中检验项目依据的推荐性标准要求时，应以被检产品明示的质量要求判定。</w:t>
      </w:r>
    </w:p>
    <w:p w:rsidR="001B259B" w:rsidRDefault="00C0397A">
      <w:pPr>
        <w:widowControl/>
        <w:spacing w:line="440" w:lineRule="exact"/>
        <w:ind w:firstLineChars="200" w:firstLine="420"/>
        <w:jc w:val="left"/>
        <w:rPr>
          <w:rFonts w:hAnsi="宋体"/>
          <w:szCs w:val="21"/>
        </w:rPr>
      </w:pPr>
      <w:r>
        <w:rPr>
          <w:rFonts w:hAnsi="宋体" w:hint="eastAsia"/>
          <w:szCs w:val="21"/>
        </w:rPr>
        <w:t>若被检产品明示的质量要求缺少本细则中检验项目依据的强制性标准要求时，应按照强制性标准要求判定。</w:t>
      </w:r>
    </w:p>
    <w:p w:rsidR="001B259B" w:rsidRDefault="00C0397A">
      <w:pPr>
        <w:widowControl/>
        <w:spacing w:line="440" w:lineRule="exact"/>
        <w:ind w:firstLineChars="200" w:firstLine="420"/>
        <w:jc w:val="left"/>
        <w:rPr>
          <w:rFonts w:hAnsi="宋体"/>
          <w:szCs w:val="21"/>
        </w:rPr>
      </w:pPr>
      <w:r>
        <w:rPr>
          <w:rFonts w:hAnsi="宋体" w:hint="eastAsia"/>
          <w:szCs w:val="21"/>
        </w:rPr>
        <w:t>若被检产品明示的质量要求缺少本细则中检验项目依据的推荐性标准要求时，该项目不参与判定，但应在检验报告备注中进行说明。</w:t>
      </w:r>
    </w:p>
    <w:p w:rsidR="001B259B" w:rsidRDefault="00C0397A">
      <w:pPr>
        <w:widowControl/>
        <w:spacing w:line="440" w:lineRule="exact"/>
        <w:jc w:val="left"/>
        <w:rPr>
          <w:rFonts w:ascii="宋体" w:hAnsi="宋体"/>
          <w:szCs w:val="21"/>
        </w:rPr>
      </w:pPr>
      <w:r>
        <w:rPr>
          <w:rFonts w:ascii="宋体" w:hAnsi="宋体" w:hint="eastAsia"/>
          <w:szCs w:val="21"/>
        </w:rPr>
        <w:t>7.</w:t>
      </w:r>
      <w:r>
        <w:rPr>
          <w:rFonts w:ascii="宋体" w:hAnsi="宋体"/>
          <w:szCs w:val="21"/>
        </w:rPr>
        <w:t>1</w:t>
      </w:r>
      <w:r>
        <w:rPr>
          <w:rFonts w:ascii="宋体" w:hAnsi="宋体" w:hint="eastAsia"/>
          <w:szCs w:val="21"/>
        </w:rPr>
        <w:t>当产品所检项目全部符合执行标准要求，检验报告中的检验结论表述为：“依据《202</w:t>
      </w:r>
      <w:r w:rsidR="004C6088">
        <w:rPr>
          <w:rFonts w:ascii="宋体" w:hAnsi="宋体" w:hint="eastAsia"/>
          <w:szCs w:val="21"/>
        </w:rPr>
        <w:t>3</w:t>
      </w:r>
      <w:r>
        <w:rPr>
          <w:rFonts w:ascii="宋体" w:hAnsi="宋体" w:hint="eastAsia"/>
          <w:szCs w:val="21"/>
        </w:rPr>
        <w:t>年车用柴油产品质量</w:t>
      </w:r>
      <w:r w:rsidR="003950B8">
        <w:rPr>
          <w:rFonts w:ascii="宋体" w:hAnsi="宋体" w:hint="eastAsia"/>
          <w:szCs w:val="21"/>
        </w:rPr>
        <w:t>钦州市</w:t>
      </w:r>
      <w:r>
        <w:rPr>
          <w:rFonts w:ascii="宋体" w:hAnsi="宋体" w:hint="eastAsia"/>
          <w:szCs w:val="21"/>
        </w:rPr>
        <w:t>监督抽查实施细则》要求，对所抽样品的xx个项目进行了检验，检验结果符合</w:t>
      </w:r>
      <w:r>
        <w:rPr>
          <w:rFonts w:ascii="宋体" w:hAnsi="宋体"/>
          <w:szCs w:val="21"/>
        </w:rPr>
        <w:t>GB</w:t>
      </w:r>
      <w:r>
        <w:rPr>
          <w:rFonts w:ascii="宋体" w:hAnsi="宋体" w:hint="eastAsia"/>
          <w:szCs w:val="21"/>
        </w:rPr>
        <w:t xml:space="preserve"> </w:t>
      </w:r>
      <w:r>
        <w:rPr>
          <w:rFonts w:ascii="宋体" w:hAnsi="宋体"/>
          <w:szCs w:val="21"/>
        </w:rPr>
        <w:t>19147</w:t>
      </w:r>
      <w:r w:rsidR="00087921">
        <w:rPr>
          <w:rFonts w:ascii="宋体" w:hAnsi="宋体" w:hint="eastAsia"/>
          <w:szCs w:val="21"/>
        </w:rPr>
        <w:t>-2016</w:t>
      </w:r>
      <w:r>
        <w:rPr>
          <w:rFonts w:ascii="宋体" w:hAnsi="宋体" w:hint="eastAsia"/>
          <w:szCs w:val="21"/>
        </w:rPr>
        <w:t>《车用柴油》要求。综合判定：该产品本次监督抽查合格”。</w:t>
      </w:r>
    </w:p>
    <w:p w:rsidR="001B259B" w:rsidRDefault="00C0397A">
      <w:pPr>
        <w:widowControl/>
        <w:spacing w:line="440" w:lineRule="exact"/>
        <w:jc w:val="left"/>
        <w:rPr>
          <w:rFonts w:ascii="宋体" w:hAnsi="宋体"/>
          <w:szCs w:val="21"/>
        </w:rPr>
      </w:pPr>
      <w:r>
        <w:rPr>
          <w:rFonts w:ascii="宋体" w:hAnsi="宋体" w:hint="eastAsia"/>
          <w:szCs w:val="21"/>
        </w:rPr>
        <w:t>7.2</w:t>
      </w:r>
      <w:r>
        <w:rPr>
          <w:rFonts w:ascii="宋体" w:hAnsi="宋体" w:hint="eastAsia"/>
          <w:iCs/>
          <w:szCs w:val="21"/>
        </w:rPr>
        <w:t>当所检项目有一项或一项以上不符合执行标准要求，</w:t>
      </w:r>
      <w:r>
        <w:rPr>
          <w:rFonts w:ascii="宋体" w:hAnsi="宋体" w:hint="eastAsia"/>
          <w:szCs w:val="21"/>
        </w:rPr>
        <w:t>检验报告中的检验结论表述为：“依据《202</w:t>
      </w:r>
      <w:r w:rsidR="004C6088">
        <w:rPr>
          <w:rFonts w:ascii="宋体" w:hAnsi="宋体" w:hint="eastAsia"/>
          <w:szCs w:val="21"/>
        </w:rPr>
        <w:t>3</w:t>
      </w:r>
      <w:r>
        <w:rPr>
          <w:rFonts w:ascii="宋体" w:hAnsi="宋体" w:hint="eastAsia"/>
          <w:szCs w:val="21"/>
        </w:rPr>
        <w:t>年车用柴油产品质量</w:t>
      </w:r>
      <w:r w:rsidR="003950B8">
        <w:rPr>
          <w:rFonts w:ascii="宋体" w:hAnsi="宋体" w:hint="eastAsia"/>
          <w:szCs w:val="21"/>
        </w:rPr>
        <w:t>钦州市</w:t>
      </w:r>
      <w:r>
        <w:rPr>
          <w:rFonts w:ascii="宋体" w:hAnsi="宋体" w:hint="eastAsia"/>
          <w:szCs w:val="21"/>
        </w:rPr>
        <w:t>监督抽查实施细则》要求，对所抽样品的xx个项目进行了检验，其中xx、xx项目的检验结果不符合GB 19147</w:t>
      </w:r>
      <w:r w:rsidR="00087921">
        <w:rPr>
          <w:rFonts w:ascii="宋体" w:hAnsi="宋体" w:hint="eastAsia"/>
          <w:szCs w:val="21"/>
        </w:rPr>
        <w:t>-2016</w:t>
      </w:r>
      <w:r>
        <w:rPr>
          <w:rFonts w:ascii="宋体" w:hAnsi="宋体" w:hint="eastAsia"/>
          <w:szCs w:val="21"/>
        </w:rPr>
        <w:t>《车用柴油》要求。综合判定：该产品本次监督抽查不合格”。</w:t>
      </w:r>
    </w:p>
    <w:p w:rsidR="001B259B" w:rsidRDefault="00C0397A">
      <w:pPr>
        <w:widowControl/>
        <w:spacing w:line="440" w:lineRule="exact"/>
        <w:ind w:firstLineChars="200" w:firstLine="420"/>
        <w:jc w:val="left"/>
        <w:rPr>
          <w:rFonts w:ascii="宋体" w:hAnsi="宋体"/>
          <w:szCs w:val="21"/>
        </w:rPr>
      </w:pPr>
      <w:r>
        <w:rPr>
          <w:rFonts w:ascii="宋体" w:hAnsi="宋体"/>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xx项目不符合xx标准号《国家（行业、地方）标准名称》要求。</w:t>
      </w:r>
    </w:p>
    <w:p w:rsidR="001B259B" w:rsidRDefault="001B259B">
      <w:pPr>
        <w:widowControl/>
        <w:spacing w:line="440" w:lineRule="exact"/>
        <w:ind w:firstLineChars="200" w:firstLine="420"/>
        <w:jc w:val="left"/>
        <w:rPr>
          <w:rFonts w:ascii="宋体" w:hAnsi="宋体"/>
          <w:szCs w:val="21"/>
        </w:rPr>
      </w:pPr>
    </w:p>
    <w:p w:rsidR="001B259B" w:rsidRDefault="00C0397A">
      <w:pPr>
        <w:widowControl/>
        <w:spacing w:line="440" w:lineRule="exact"/>
        <w:jc w:val="left"/>
        <w:rPr>
          <w:rFonts w:ascii="黑体" w:eastAsia="黑体" w:hAnsi="黑体"/>
          <w:szCs w:val="21"/>
        </w:rPr>
      </w:pPr>
      <w:r>
        <w:rPr>
          <w:rFonts w:ascii="黑体" w:eastAsia="黑体" w:hAnsi="黑体" w:hint="eastAsia"/>
          <w:szCs w:val="21"/>
        </w:rPr>
        <w:t>8</w:t>
      </w:r>
      <w:r>
        <w:rPr>
          <w:rFonts w:ascii="黑体" w:eastAsia="黑体" w:hAnsi="黑体"/>
          <w:szCs w:val="21"/>
        </w:rPr>
        <w:t xml:space="preserve"> </w:t>
      </w:r>
      <w:r>
        <w:rPr>
          <w:rFonts w:ascii="黑体" w:eastAsia="黑体" w:hAnsi="黑体" w:hint="eastAsia"/>
          <w:szCs w:val="21"/>
        </w:rPr>
        <w:t>异议处理</w:t>
      </w:r>
    </w:p>
    <w:p w:rsidR="001B259B" w:rsidRDefault="00C0397A">
      <w:pPr>
        <w:snapToGrid w:val="0"/>
        <w:spacing w:line="440" w:lineRule="exact"/>
        <w:ind w:firstLineChars="200" w:firstLine="420"/>
        <w:rPr>
          <w:rFonts w:ascii="宋体" w:hAnsi="宋体"/>
          <w:iCs/>
          <w:szCs w:val="21"/>
        </w:rPr>
      </w:pPr>
      <w:r>
        <w:rPr>
          <w:rFonts w:ascii="宋体" w:hAnsi="宋体" w:hint="eastAsia"/>
          <w:iCs/>
          <w:szCs w:val="21"/>
        </w:rPr>
        <w:t>对判定不合格产品进行异议处理时，按以下方式进行：</w:t>
      </w:r>
    </w:p>
    <w:p w:rsidR="001B259B" w:rsidRDefault="00C0397A">
      <w:pPr>
        <w:adjustRightInd w:val="0"/>
        <w:snapToGrid w:val="0"/>
        <w:spacing w:line="580" w:lineRule="exact"/>
        <w:rPr>
          <w:rFonts w:ascii="宋体" w:hAnsi="宋体"/>
          <w:szCs w:val="21"/>
        </w:rPr>
      </w:pPr>
      <w:r>
        <w:rPr>
          <w:rFonts w:ascii="宋体" w:hAnsi="宋体" w:hint="eastAsia"/>
          <w:szCs w:val="21"/>
        </w:rPr>
        <w:t>8.1 核查不合格项目相关证据，能够以记录（纸质记录或电子记录或影像记录）或与不合格项目相关联的其它质量数据等检验证据证明的，由监督抽查组织部门根据核查情况作出异议处理决定。</w:t>
      </w:r>
    </w:p>
    <w:p w:rsidR="001B259B" w:rsidRDefault="00C0397A" w:rsidP="004C6088">
      <w:pPr>
        <w:adjustRightInd w:val="0"/>
        <w:snapToGrid w:val="0"/>
        <w:spacing w:line="580" w:lineRule="exact"/>
        <w:rPr>
          <w:rFonts w:ascii="仿宋_GB2312" w:eastAsia="仿宋_GB2312"/>
          <w:sz w:val="44"/>
          <w:szCs w:val="44"/>
        </w:rPr>
      </w:pPr>
      <w:r>
        <w:rPr>
          <w:rFonts w:ascii="宋体" w:hAnsi="宋体" w:hint="eastAsia"/>
          <w:szCs w:val="21"/>
        </w:rPr>
        <w:t>8.2 对需要复检并具备检验条件的，监督抽查组织部门按照《产品质量监督抽查暂行管理办法》要求组织复检机构对抽取的备用样品进行复检，并出具检验报告。复检结论为最终结论。</w:t>
      </w:r>
    </w:p>
    <w:sectPr w:rsidR="001B259B" w:rsidSect="001B259B">
      <w:headerReference w:type="default" r:id="rId7"/>
      <w:footerReference w:type="even" r:id="rId8"/>
      <w:footerReference w:type="default" r:id="rId9"/>
      <w:pgSz w:w="11906" w:h="16838"/>
      <w:pgMar w:top="1134" w:right="1474" w:bottom="1134" w:left="1474" w:header="851" w:footer="851"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16A8" w:rsidRDefault="007E16A8" w:rsidP="001B259B">
      <w:r>
        <w:separator/>
      </w:r>
    </w:p>
  </w:endnote>
  <w:endnote w:type="continuationSeparator" w:id="0">
    <w:p w:rsidR="007E16A8" w:rsidRDefault="007E16A8" w:rsidP="001B25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im Sun">
    <w:altName w:val="宋体"/>
    <w:charset w:val="86"/>
    <w:family w:val="swiss"/>
    <w:pitch w:val="default"/>
    <w:sig w:usb0="00000001" w:usb1="080E0000" w:usb2="00000010" w:usb3="00000000" w:csb0="00040000" w:csb1="00000000"/>
  </w:font>
  <w:font w:name="楷体_GB2312">
    <w:altName w:val="楷体"/>
    <w:charset w:val="86"/>
    <w:family w:val="modern"/>
    <w:pitch w:val="default"/>
    <w:sig w:usb0="00000001" w:usb1="080E0000" w:usb2="00000010" w:usb3="00000000" w:csb0="00040000"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97A" w:rsidRDefault="00F72303">
    <w:pPr>
      <w:pStyle w:val="a3"/>
      <w:framePr w:wrap="around" w:vAnchor="text" w:hAnchor="margin" w:xAlign="outside" w:y="1"/>
      <w:rPr>
        <w:rStyle w:val="a7"/>
      </w:rPr>
    </w:pPr>
    <w:r>
      <w:fldChar w:fldCharType="begin"/>
    </w:r>
    <w:r w:rsidR="00C0397A">
      <w:rPr>
        <w:rStyle w:val="a7"/>
      </w:rPr>
      <w:instrText xml:space="preserve">PAGE  </w:instrText>
    </w:r>
    <w:r>
      <w:fldChar w:fldCharType="end"/>
    </w:r>
  </w:p>
  <w:p w:rsidR="00C0397A" w:rsidRDefault="00C0397A">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97A" w:rsidRDefault="00F72303">
    <w:pPr>
      <w:pStyle w:val="a3"/>
      <w:ind w:right="360" w:firstLine="360"/>
      <w:rPr>
        <w:rStyle w:val="a7"/>
      </w:rPr>
    </w:pPr>
    <w:r>
      <w:pict>
        <v:shapetype id="_x0000_t202" coordsize="21600,21600" o:spt="202" path="m,l,21600r21600,l21600,xe">
          <v:stroke joinstyle="miter"/>
          <v:path gradientshapeok="t" o:connecttype="rect"/>
        </v:shapetype>
        <v:shape id="_x0000_s2049" type="#_x0000_t202" style="position:absolute;left:0;text-align:left;margin-left:0;margin-top:0;width:2in;height:2in;z-index:251657728;mso-wrap-style:none;mso-position-horizontal:center;mso-position-horizontal-relative:margin" filled="f" stroked="f">
          <v:textbox style="mso-fit-shape-to-text:t" inset="0,0,0,0">
            <w:txbxContent>
              <w:p w:rsidR="00C0397A" w:rsidRDefault="00F72303">
                <w:pPr>
                  <w:pStyle w:val="a3"/>
                </w:pPr>
                <w:fldSimple w:instr=" PAGE  \* MERGEFORMAT ">
                  <w:r w:rsidR="004C6088">
                    <w:rPr>
                      <w:noProof/>
                    </w:rPr>
                    <w:t>4</w:t>
                  </w:r>
                </w:fldSimple>
              </w:p>
            </w:txbxContent>
          </v:textbox>
          <w10:wrap anchorx="margin"/>
        </v:shape>
      </w:pict>
    </w:r>
  </w:p>
  <w:p w:rsidR="00C0397A" w:rsidRDefault="00C039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16A8" w:rsidRDefault="007E16A8" w:rsidP="001B259B">
      <w:r>
        <w:separator/>
      </w:r>
    </w:p>
  </w:footnote>
  <w:footnote w:type="continuationSeparator" w:id="0">
    <w:p w:rsidR="007E16A8" w:rsidRDefault="007E16A8" w:rsidP="001B25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97A" w:rsidRDefault="00C0397A">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bordersDoNotSurroundHeader/>
  <w:bordersDoNotSurroundFooter/>
  <w:proofState w:spelling="clean"/>
  <w:stylePaneFormatFilter w:val="3F01"/>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3CD84154"/>
    <w:rsid w:val="00087921"/>
    <w:rsid w:val="000E4D01"/>
    <w:rsid w:val="0011378C"/>
    <w:rsid w:val="001147E2"/>
    <w:rsid w:val="00152FE4"/>
    <w:rsid w:val="00174125"/>
    <w:rsid w:val="001B259B"/>
    <w:rsid w:val="001D18B5"/>
    <w:rsid w:val="001F3EB1"/>
    <w:rsid w:val="002B4E0A"/>
    <w:rsid w:val="002C1149"/>
    <w:rsid w:val="00317D11"/>
    <w:rsid w:val="003950B8"/>
    <w:rsid w:val="00424D52"/>
    <w:rsid w:val="00441A5D"/>
    <w:rsid w:val="004B5934"/>
    <w:rsid w:val="004C6088"/>
    <w:rsid w:val="004D32B7"/>
    <w:rsid w:val="0055375E"/>
    <w:rsid w:val="00563BAD"/>
    <w:rsid w:val="00575513"/>
    <w:rsid w:val="005D48C2"/>
    <w:rsid w:val="00614B31"/>
    <w:rsid w:val="00695B5C"/>
    <w:rsid w:val="007C3247"/>
    <w:rsid w:val="007E16A8"/>
    <w:rsid w:val="008251C4"/>
    <w:rsid w:val="00835856"/>
    <w:rsid w:val="00836540"/>
    <w:rsid w:val="008421DE"/>
    <w:rsid w:val="00850A95"/>
    <w:rsid w:val="00897A01"/>
    <w:rsid w:val="00915A4F"/>
    <w:rsid w:val="00937BEF"/>
    <w:rsid w:val="00972BFF"/>
    <w:rsid w:val="009926B4"/>
    <w:rsid w:val="009C4295"/>
    <w:rsid w:val="00A34530"/>
    <w:rsid w:val="00A4490D"/>
    <w:rsid w:val="00AC4523"/>
    <w:rsid w:val="00B45548"/>
    <w:rsid w:val="00BF4894"/>
    <w:rsid w:val="00C0397A"/>
    <w:rsid w:val="00C23FE9"/>
    <w:rsid w:val="00CA7644"/>
    <w:rsid w:val="00CE3169"/>
    <w:rsid w:val="00D34C2A"/>
    <w:rsid w:val="00D65B41"/>
    <w:rsid w:val="00D9763E"/>
    <w:rsid w:val="00DA2E1D"/>
    <w:rsid w:val="00DC3914"/>
    <w:rsid w:val="00DD43E7"/>
    <w:rsid w:val="00E45296"/>
    <w:rsid w:val="00E64BAB"/>
    <w:rsid w:val="00E7185F"/>
    <w:rsid w:val="00EC39AD"/>
    <w:rsid w:val="00ED7323"/>
    <w:rsid w:val="00EF3B3F"/>
    <w:rsid w:val="00F16E69"/>
    <w:rsid w:val="00F72113"/>
    <w:rsid w:val="00F72303"/>
    <w:rsid w:val="00F7439E"/>
    <w:rsid w:val="00F77C72"/>
    <w:rsid w:val="00FA5E22"/>
    <w:rsid w:val="00FB666B"/>
    <w:rsid w:val="00FC27F5"/>
    <w:rsid w:val="00FD5E59"/>
    <w:rsid w:val="00FF073E"/>
    <w:rsid w:val="0F724B82"/>
    <w:rsid w:val="13C6265B"/>
    <w:rsid w:val="198125DA"/>
    <w:rsid w:val="212F4680"/>
    <w:rsid w:val="23E436F1"/>
    <w:rsid w:val="33191BD3"/>
    <w:rsid w:val="34B20FA3"/>
    <w:rsid w:val="34D5485B"/>
    <w:rsid w:val="3A1B3059"/>
    <w:rsid w:val="3CD84154"/>
    <w:rsid w:val="59855D6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259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B259B"/>
    <w:pPr>
      <w:tabs>
        <w:tab w:val="center" w:pos="4153"/>
        <w:tab w:val="right" w:pos="8306"/>
      </w:tabs>
      <w:snapToGrid w:val="0"/>
      <w:jc w:val="left"/>
    </w:pPr>
    <w:rPr>
      <w:sz w:val="18"/>
      <w:szCs w:val="18"/>
    </w:rPr>
  </w:style>
  <w:style w:type="paragraph" w:styleId="a4">
    <w:name w:val="header"/>
    <w:basedOn w:val="a"/>
    <w:rsid w:val="001B259B"/>
    <w:pPr>
      <w:pBdr>
        <w:bottom w:val="single" w:sz="6" w:space="1" w:color="auto"/>
      </w:pBdr>
      <w:tabs>
        <w:tab w:val="center" w:pos="4153"/>
        <w:tab w:val="right" w:pos="8306"/>
      </w:tabs>
      <w:snapToGrid w:val="0"/>
      <w:jc w:val="center"/>
    </w:pPr>
    <w:rPr>
      <w:sz w:val="18"/>
      <w:szCs w:val="18"/>
    </w:rPr>
  </w:style>
  <w:style w:type="paragraph" w:styleId="a5">
    <w:name w:val="Normal (Web)"/>
    <w:basedOn w:val="a"/>
    <w:unhideWhenUsed/>
    <w:rsid w:val="001B259B"/>
    <w:pPr>
      <w:widowControl/>
      <w:spacing w:before="100" w:beforeAutospacing="1" w:after="100" w:afterAutospacing="1"/>
      <w:jc w:val="left"/>
    </w:pPr>
    <w:rPr>
      <w:rFonts w:ascii="宋体" w:hAnsi="宋体" w:cs="宋体"/>
      <w:kern w:val="0"/>
      <w:sz w:val="24"/>
    </w:rPr>
  </w:style>
  <w:style w:type="character" w:styleId="a6">
    <w:name w:val="Strong"/>
    <w:qFormat/>
    <w:rsid w:val="001B259B"/>
    <w:rPr>
      <w:b/>
      <w:bCs/>
    </w:rPr>
  </w:style>
  <w:style w:type="character" w:styleId="a7">
    <w:name w:val="page number"/>
    <w:basedOn w:val="a0"/>
    <w:rsid w:val="001B259B"/>
  </w:style>
  <w:style w:type="character" w:styleId="a8">
    <w:name w:val="Hyperlink"/>
    <w:rsid w:val="001B259B"/>
    <w:rPr>
      <w:color w:val="0000FF"/>
      <w:u w:val="single"/>
    </w:rPr>
  </w:style>
  <w:style w:type="paragraph" w:customStyle="1" w:styleId="a9">
    <w:name w:val="段"/>
    <w:link w:val="Char"/>
    <w:rsid w:val="001B259B"/>
    <w:pPr>
      <w:tabs>
        <w:tab w:val="center" w:pos="4201"/>
        <w:tab w:val="right" w:leader="dot" w:pos="9298"/>
      </w:tabs>
      <w:autoSpaceDE w:val="0"/>
      <w:autoSpaceDN w:val="0"/>
      <w:ind w:firstLineChars="200" w:firstLine="420"/>
      <w:jc w:val="both"/>
    </w:pPr>
    <w:rPr>
      <w:rFonts w:ascii="宋体"/>
      <w:sz w:val="21"/>
    </w:rPr>
  </w:style>
  <w:style w:type="character" w:customStyle="1" w:styleId="Char0">
    <w:name w:val="页脚 Char"/>
    <w:rsid w:val="001B259B"/>
    <w:rPr>
      <w:kern w:val="2"/>
      <w:sz w:val="18"/>
      <w:szCs w:val="18"/>
    </w:rPr>
  </w:style>
  <w:style w:type="character" w:customStyle="1" w:styleId="Char1">
    <w:name w:val="页眉 Char"/>
    <w:rsid w:val="001B259B"/>
    <w:rPr>
      <w:kern w:val="2"/>
      <w:sz w:val="18"/>
      <w:szCs w:val="18"/>
    </w:rPr>
  </w:style>
  <w:style w:type="character" w:customStyle="1" w:styleId="Char">
    <w:name w:val="段 Char"/>
    <w:link w:val="a9"/>
    <w:rsid w:val="001B259B"/>
    <w:rPr>
      <w:rFonts w:ascii="宋体"/>
      <w:sz w:val="21"/>
      <w:lang w:bidi="ar-SA"/>
    </w:rPr>
  </w:style>
</w:styles>
</file>

<file path=word/webSettings.xml><?xml version="1.0" encoding="utf-8"?>
<w:webSettings xmlns:r="http://schemas.openxmlformats.org/officeDocument/2006/relationships" xmlns:w="http://schemas.openxmlformats.org/wordprocessingml/2006/main">
  <w:divs>
    <w:div w:id="1535719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2766</TotalTime>
  <Pages>4</Pages>
  <Words>2924</Words>
  <Characters>380</Characters>
  <Application>Microsoft Office Word</Application>
  <DocSecurity>0</DocSecurity>
  <Lines>3</Lines>
  <Paragraphs>6</Paragraphs>
  <ScaleCrop>false</ScaleCrop>
  <Company/>
  <LinksUpToDate>false</LinksUpToDate>
  <CharactersWithSpaces>3298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雷海玲</dc:creator>
  <cp:lastModifiedBy>Administrator</cp:lastModifiedBy>
  <cp:revision>15</cp:revision>
  <dcterms:created xsi:type="dcterms:W3CDTF">2021-10-13T08:47:00Z</dcterms:created>
  <dcterms:modified xsi:type="dcterms:W3CDTF">2023-02-08T02:22:00Z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